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83" w:rsidRDefault="001B0283" w:rsidP="001B0283">
      <w:pPr>
        <w:jc w:val="center"/>
        <w:rPr>
          <w:rFonts w:asciiTheme="minorHAnsi" w:hAnsiTheme="minorHAnsi"/>
          <w:b/>
        </w:rPr>
      </w:pPr>
      <w:r>
        <w:rPr>
          <w:rFonts w:asciiTheme="minorHAnsi" w:hAnsiTheme="minorHAnsi"/>
          <w:b/>
          <w:noProof/>
          <w:lang w:eastAsia="en-AU"/>
        </w:rPr>
        <w:drawing>
          <wp:inline distT="0" distB="0" distL="0" distR="0" wp14:anchorId="3A71963F" wp14:editId="329DC97A">
            <wp:extent cx="2905125" cy="2905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_IEP_LOGO_WHITE_BO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5125" cy="2905125"/>
                    </a:xfrm>
                    <a:prstGeom prst="rect">
                      <a:avLst/>
                    </a:prstGeom>
                  </pic:spPr>
                </pic:pic>
              </a:graphicData>
            </a:graphic>
          </wp:inline>
        </w:drawing>
      </w:r>
    </w:p>
    <w:p w:rsidR="001B0283" w:rsidRDefault="001B0283" w:rsidP="001B0283">
      <w:pPr>
        <w:rPr>
          <w:rFonts w:asciiTheme="minorHAnsi" w:hAnsiTheme="minorHAnsi"/>
          <w:b/>
        </w:rPr>
      </w:pPr>
    </w:p>
    <w:p w:rsidR="001B0283" w:rsidRDefault="001B0283" w:rsidP="001B0283">
      <w:pPr>
        <w:jc w:val="center"/>
        <w:rPr>
          <w:rFonts w:asciiTheme="minorHAnsi" w:hAnsiTheme="minorHAnsi"/>
          <w:b/>
          <w:sz w:val="96"/>
          <w:szCs w:val="96"/>
        </w:rPr>
      </w:pPr>
    </w:p>
    <w:p w:rsidR="001B0283" w:rsidRDefault="001B0283" w:rsidP="001B0283">
      <w:pPr>
        <w:jc w:val="center"/>
        <w:rPr>
          <w:rFonts w:asciiTheme="minorHAnsi" w:hAnsiTheme="minorHAnsi"/>
          <w:b/>
          <w:sz w:val="96"/>
          <w:szCs w:val="96"/>
        </w:rPr>
      </w:pPr>
    </w:p>
    <w:p w:rsidR="001B0283" w:rsidRPr="00284599" w:rsidRDefault="001B0283" w:rsidP="001B0283">
      <w:pPr>
        <w:jc w:val="center"/>
        <w:rPr>
          <w:rFonts w:asciiTheme="minorHAnsi" w:hAnsiTheme="minorHAnsi"/>
          <w:b/>
          <w:sz w:val="72"/>
          <w:szCs w:val="72"/>
        </w:rPr>
      </w:pPr>
    </w:p>
    <w:p w:rsidR="001B0283" w:rsidRDefault="001B0283" w:rsidP="001B0283">
      <w:pPr>
        <w:jc w:val="center"/>
        <w:rPr>
          <w:rFonts w:asciiTheme="minorHAnsi" w:hAnsiTheme="minorHAnsi"/>
          <w:b/>
          <w:sz w:val="72"/>
          <w:szCs w:val="72"/>
        </w:rPr>
      </w:pPr>
      <w:r>
        <w:rPr>
          <w:rFonts w:asciiTheme="minorHAnsi" w:hAnsiTheme="minorHAnsi"/>
          <w:b/>
          <w:sz w:val="72"/>
          <w:szCs w:val="72"/>
        </w:rPr>
        <w:t>IEP Country Risk Analysis Product</w:t>
      </w:r>
    </w:p>
    <w:p w:rsidR="001B0283" w:rsidRDefault="001B0283" w:rsidP="001B0283">
      <w:pPr>
        <w:jc w:val="center"/>
        <w:rPr>
          <w:rFonts w:asciiTheme="minorHAnsi" w:hAnsiTheme="minorHAnsi"/>
          <w:b/>
          <w:sz w:val="72"/>
          <w:szCs w:val="72"/>
        </w:rPr>
      </w:pPr>
    </w:p>
    <w:p w:rsidR="001B0283" w:rsidRDefault="001B0283" w:rsidP="001B0283">
      <w:pPr>
        <w:jc w:val="center"/>
        <w:rPr>
          <w:rFonts w:asciiTheme="minorHAnsi" w:hAnsiTheme="minorHAnsi"/>
          <w:b/>
          <w:sz w:val="72"/>
          <w:szCs w:val="72"/>
        </w:rPr>
      </w:pPr>
    </w:p>
    <w:p w:rsidR="001B0283" w:rsidRPr="00284599" w:rsidRDefault="001B0283" w:rsidP="001B0283">
      <w:pPr>
        <w:jc w:val="center"/>
        <w:rPr>
          <w:rFonts w:asciiTheme="minorHAnsi" w:hAnsiTheme="minorHAnsi"/>
          <w:b/>
          <w:sz w:val="72"/>
          <w:szCs w:val="72"/>
        </w:rPr>
      </w:pPr>
    </w:p>
    <w:p w:rsidR="001B0283" w:rsidRDefault="001B0283" w:rsidP="00250EE3">
      <w:pPr>
        <w:rPr>
          <w:b/>
          <w:bCs/>
          <w:u w:val="single"/>
        </w:rPr>
      </w:pPr>
    </w:p>
    <w:p w:rsidR="001B0283" w:rsidRDefault="001B0283" w:rsidP="00250EE3">
      <w:pPr>
        <w:rPr>
          <w:b/>
          <w:bCs/>
          <w:u w:val="single"/>
        </w:rPr>
      </w:pPr>
    </w:p>
    <w:p w:rsidR="001B0283" w:rsidRDefault="001B0283" w:rsidP="00250EE3">
      <w:pPr>
        <w:rPr>
          <w:b/>
          <w:bCs/>
          <w:u w:val="single"/>
        </w:rPr>
      </w:pPr>
    </w:p>
    <w:p w:rsidR="001B0283" w:rsidRDefault="001B0283" w:rsidP="00250EE3">
      <w:pPr>
        <w:rPr>
          <w:b/>
          <w:bCs/>
          <w:u w:val="single"/>
        </w:rPr>
      </w:pPr>
    </w:p>
    <w:p w:rsidR="001B0283" w:rsidRDefault="001B0283" w:rsidP="00250EE3">
      <w:pPr>
        <w:rPr>
          <w:b/>
          <w:bCs/>
          <w:u w:val="single"/>
        </w:rPr>
      </w:pPr>
    </w:p>
    <w:p w:rsidR="00250EE3" w:rsidRPr="003C725C" w:rsidRDefault="003C725C" w:rsidP="003C725C">
      <w:pPr>
        <w:rPr>
          <w:b/>
          <w:bCs/>
          <w:sz w:val="24"/>
          <w:szCs w:val="24"/>
          <w:u w:val="single"/>
        </w:rPr>
      </w:pPr>
      <w:r>
        <w:rPr>
          <w:b/>
          <w:bCs/>
          <w:sz w:val="24"/>
          <w:szCs w:val="24"/>
          <w:u w:val="single"/>
        </w:rPr>
        <w:lastRenderedPageBreak/>
        <w:t xml:space="preserve">1) </w:t>
      </w:r>
      <w:r w:rsidR="00250EE3" w:rsidRPr="003C725C">
        <w:rPr>
          <w:b/>
          <w:bCs/>
          <w:sz w:val="24"/>
          <w:szCs w:val="24"/>
          <w:u w:val="single"/>
        </w:rPr>
        <w:t>IEP Background</w:t>
      </w:r>
    </w:p>
    <w:p w:rsidR="008F76A5" w:rsidRPr="009C2C24" w:rsidRDefault="008F76A5" w:rsidP="00250EE3">
      <w:pPr>
        <w:rPr>
          <w:b/>
          <w:bCs/>
          <w:u w:val="single"/>
        </w:rPr>
      </w:pPr>
    </w:p>
    <w:p w:rsidR="00250EE3" w:rsidRDefault="00C658BB" w:rsidP="00250EE3">
      <w:bookmarkStart w:id="0" w:name="_GoBack"/>
      <w:r w:rsidRPr="009C2C24">
        <w:t>Institute for Economics and Peace (IEP)</w:t>
      </w:r>
      <w:r w:rsidR="00250EE3" w:rsidRPr="009C2C24">
        <w:t xml:space="preserve"> is the world’s leading think tank dedicated to developing metrics to analyse peace and to quantify its economic value. It does this by developing global and national indices, calculating the economic cost of violence, analysing country level risk and understanding positive peace. The research is used extensively by governments, academic institutions, think tanks, non-governmental organisations and by intergovernmental institutions such as the OECD, The Commonwealth Secretariat, the World Bank and the United Nations. The Institute was recently ranked in the top 15 most impactful think tanks in the world on the Global Go to Think Tank Index.</w:t>
      </w:r>
    </w:p>
    <w:bookmarkEnd w:id="0"/>
    <w:p w:rsidR="009C2C24" w:rsidRPr="009C2C24" w:rsidRDefault="009C2C24" w:rsidP="00250EE3"/>
    <w:p w:rsidR="009C2C24" w:rsidRDefault="009C2C24" w:rsidP="009C2C24">
      <w:pPr>
        <w:rPr>
          <w:rFonts w:asciiTheme="minorHAnsi" w:hAnsiTheme="minorHAnsi"/>
          <w:color w:val="000000"/>
        </w:rPr>
      </w:pPr>
      <w:r>
        <w:rPr>
          <w:rFonts w:asciiTheme="minorHAnsi" w:hAnsiTheme="minorHAnsi"/>
        </w:rPr>
        <w:t xml:space="preserve">Institute’s </w:t>
      </w:r>
      <w:r w:rsidRPr="004D1727">
        <w:rPr>
          <w:rFonts w:asciiTheme="minorHAnsi" w:hAnsiTheme="minorHAnsi"/>
        </w:rPr>
        <w:t>intellectual properties G</w:t>
      </w:r>
      <w:r>
        <w:rPr>
          <w:rFonts w:asciiTheme="minorHAnsi" w:hAnsiTheme="minorHAnsi"/>
        </w:rPr>
        <w:t>lobal Peace Index (G</w:t>
      </w:r>
      <w:r w:rsidRPr="004D1727">
        <w:rPr>
          <w:rFonts w:asciiTheme="minorHAnsi" w:hAnsiTheme="minorHAnsi"/>
        </w:rPr>
        <w:t>PI</w:t>
      </w:r>
      <w:r>
        <w:rPr>
          <w:rFonts w:asciiTheme="minorHAnsi" w:hAnsiTheme="minorHAnsi"/>
        </w:rPr>
        <w:t>)</w:t>
      </w:r>
      <w:r w:rsidRPr="004D1727">
        <w:rPr>
          <w:rFonts w:asciiTheme="minorHAnsi" w:hAnsiTheme="minorHAnsi"/>
        </w:rPr>
        <w:t>, P</w:t>
      </w:r>
      <w:r>
        <w:rPr>
          <w:rFonts w:asciiTheme="minorHAnsi" w:hAnsiTheme="minorHAnsi"/>
        </w:rPr>
        <w:t>ositive Peace Index (PPI)</w:t>
      </w:r>
      <w:r w:rsidRPr="004D1727">
        <w:rPr>
          <w:rFonts w:asciiTheme="minorHAnsi" w:hAnsiTheme="minorHAnsi"/>
        </w:rPr>
        <w:t xml:space="preserve"> and G</w:t>
      </w:r>
      <w:r>
        <w:rPr>
          <w:rFonts w:asciiTheme="minorHAnsi" w:hAnsiTheme="minorHAnsi"/>
        </w:rPr>
        <w:t>lobal Terrorism Index (GTI)</w:t>
      </w:r>
      <w:r w:rsidRPr="004D1727">
        <w:rPr>
          <w:rFonts w:asciiTheme="minorHAnsi" w:hAnsiTheme="minorHAnsi"/>
        </w:rPr>
        <w:t xml:space="preserve"> </w:t>
      </w:r>
      <w:r>
        <w:rPr>
          <w:rFonts w:asciiTheme="minorHAnsi" w:hAnsiTheme="minorHAnsi"/>
        </w:rPr>
        <w:t>provide</w:t>
      </w:r>
      <w:r w:rsidRPr="004D1727">
        <w:rPr>
          <w:rFonts w:asciiTheme="minorHAnsi" w:hAnsiTheme="minorHAnsi"/>
        </w:rPr>
        <w:t xml:space="preserve"> solid </w:t>
      </w:r>
      <w:r>
        <w:rPr>
          <w:rFonts w:asciiTheme="minorHAnsi" w:hAnsiTheme="minorHAnsi"/>
        </w:rPr>
        <w:t xml:space="preserve">and unique </w:t>
      </w:r>
      <w:r w:rsidRPr="004D1727">
        <w:rPr>
          <w:rFonts w:asciiTheme="minorHAnsi" w:hAnsiTheme="minorHAnsi"/>
        </w:rPr>
        <w:t xml:space="preserve">foundation to measure </w:t>
      </w:r>
      <w:r>
        <w:rPr>
          <w:rFonts w:asciiTheme="minorHAnsi" w:hAnsiTheme="minorHAnsi"/>
        </w:rPr>
        <w:t xml:space="preserve">the </w:t>
      </w:r>
      <w:r w:rsidRPr="004D1727">
        <w:rPr>
          <w:rFonts w:asciiTheme="minorHAnsi" w:hAnsiTheme="minorHAnsi"/>
        </w:rPr>
        <w:t>international peacefulness</w:t>
      </w:r>
      <w:r>
        <w:rPr>
          <w:rFonts w:asciiTheme="minorHAnsi" w:hAnsiTheme="minorHAnsi"/>
        </w:rPr>
        <w:t xml:space="preserve"> of 162 countries</w:t>
      </w:r>
      <w:r w:rsidRPr="004D1727">
        <w:rPr>
          <w:rFonts w:asciiTheme="minorHAnsi" w:hAnsiTheme="minorHAnsi"/>
        </w:rPr>
        <w:t xml:space="preserve">. </w:t>
      </w:r>
      <w:r>
        <w:rPr>
          <w:rFonts w:asciiTheme="minorHAnsi" w:hAnsiTheme="minorHAnsi"/>
        </w:rPr>
        <w:t>It</w:t>
      </w:r>
      <w:r w:rsidRPr="004D1727">
        <w:rPr>
          <w:rFonts w:asciiTheme="minorHAnsi" w:hAnsiTheme="minorHAnsi"/>
        </w:rPr>
        <w:t xml:space="preserve"> </w:t>
      </w:r>
      <w:r>
        <w:rPr>
          <w:rFonts w:asciiTheme="minorHAnsi" w:hAnsiTheme="minorHAnsi"/>
        </w:rPr>
        <w:t>has raised</w:t>
      </w:r>
      <w:r w:rsidRPr="004D1727">
        <w:rPr>
          <w:rFonts w:asciiTheme="minorHAnsi" w:hAnsiTheme="minorHAnsi"/>
        </w:rPr>
        <w:t xml:space="preserve"> significant awareness about the drivers and indicators of peace and become a valued resource used </w:t>
      </w:r>
      <w:r w:rsidRPr="004D1727">
        <w:rPr>
          <w:rFonts w:asciiTheme="minorHAnsi" w:hAnsiTheme="minorHAnsi"/>
          <w:color w:val="000000"/>
        </w:rPr>
        <w:t xml:space="preserve">by academics, intergovernmental organisations, and governments around the world. </w:t>
      </w:r>
      <w:r>
        <w:rPr>
          <w:rFonts w:asciiTheme="minorHAnsi" w:hAnsiTheme="minorHAnsi"/>
          <w:color w:val="000000"/>
        </w:rPr>
        <w:t xml:space="preserve"> </w:t>
      </w:r>
    </w:p>
    <w:p w:rsidR="00250EE3" w:rsidRPr="009C2C24" w:rsidRDefault="00250EE3" w:rsidP="00250EE3"/>
    <w:p w:rsidR="00250EE3" w:rsidRPr="009C2C24" w:rsidRDefault="00250EE3" w:rsidP="00250EE3">
      <w:r w:rsidRPr="009C2C24">
        <w:t>In an effort to make peace a more central area of study, for students, teachers and academics, the Institute for Economics and Peace works with a growing network of schools and universities globally. At the Primary and Secondary level, we have developed a range of resources for teachers to introduce peace into the classroom across a number of subjects. At the tertiary level, we are working with academics and universities, including business schools and economics departments, to develop deeper research into peace and its value within society.</w:t>
      </w:r>
    </w:p>
    <w:p w:rsidR="00C658BB" w:rsidRPr="009C2C24" w:rsidRDefault="00C658BB" w:rsidP="00250EE3"/>
    <w:p w:rsidR="00C658BB" w:rsidRPr="009C2C24" w:rsidRDefault="00C658BB" w:rsidP="00C658BB">
      <w:r w:rsidRPr="009C2C24">
        <w:t>The institute’s research is used in university courses worldwide, in fields including management, business, economics, criminal justice, conflict resolution and international affairs. In order to further our understanding of the linkages between business, peace and economic development, IEP has created the Business Faculty Network, a consortium of business faculties and scholars. We periodically host academic conferences.</w:t>
      </w:r>
    </w:p>
    <w:p w:rsidR="00C658BB" w:rsidRPr="009C2C24" w:rsidRDefault="00C658BB" w:rsidP="00C658BB">
      <w:pPr>
        <w:rPr>
          <w:rFonts w:ascii="Arial" w:hAnsi="Arial" w:cs="Arial"/>
          <w:sz w:val="21"/>
          <w:szCs w:val="21"/>
        </w:rPr>
      </w:pPr>
    </w:p>
    <w:p w:rsidR="00700ED5" w:rsidRPr="003C725C" w:rsidRDefault="003C725C" w:rsidP="003C725C">
      <w:pPr>
        <w:rPr>
          <w:b/>
          <w:bCs/>
          <w:sz w:val="24"/>
          <w:szCs w:val="24"/>
          <w:u w:val="single"/>
        </w:rPr>
      </w:pPr>
      <w:r>
        <w:rPr>
          <w:b/>
          <w:bCs/>
          <w:sz w:val="24"/>
          <w:szCs w:val="24"/>
          <w:u w:val="single"/>
        </w:rPr>
        <w:t>2)</w:t>
      </w:r>
      <w:r w:rsidRPr="003C725C">
        <w:rPr>
          <w:b/>
          <w:bCs/>
          <w:sz w:val="24"/>
          <w:szCs w:val="24"/>
          <w:u w:val="single"/>
        </w:rPr>
        <w:t xml:space="preserve"> </w:t>
      </w:r>
      <w:r w:rsidR="009C2C24" w:rsidRPr="003C725C">
        <w:rPr>
          <w:b/>
          <w:bCs/>
          <w:sz w:val="24"/>
          <w:szCs w:val="24"/>
          <w:u w:val="single"/>
        </w:rPr>
        <w:t xml:space="preserve">IEP Country </w:t>
      </w:r>
      <w:r w:rsidR="009F04A3">
        <w:rPr>
          <w:b/>
          <w:bCs/>
          <w:sz w:val="24"/>
          <w:szCs w:val="24"/>
          <w:u w:val="single"/>
        </w:rPr>
        <w:t xml:space="preserve">Analytic and </w:t>
      </w:r>
      <w:r w:rsidR="009C2C24" w:rsidRPr="003C725C">
        <w:rPr>
          <w:b/>
          <w:bCs/>
          <w:sz w:val="24"/>
          <w:szCs w:val="24"/>
          <w:u w:val="single"/>
        </w:rPr>
        <w:t>Risk</w:t>
      </w:r>
      <w:r w:rsidR="003D18FB" w:rsidRPr="003C725C">
        <w:rPr>
          <w:b/>
          <w:bCs/>
          <w:sz w:val="24"/>
          <w:szCs w:val="24"/>
          <w:u w:val="single"/>
        </w:rPr>
        <w:t xml:space="preserve"> Product</w:t>
      </w:r>
      <w:r w:rsidR="009C2C24" w:rsidRPr="003C725C">
        <w:rPr>
          <w:b/>
          <w:bCs/>
          <w:sz w:val="24"/>
          <w:szCs w:val="24"/>
          <w:u w:val="single"/>
        </w:rPr>
        <w:t xml:space="preserve"> </w:t>
      </w:r>
    </w:p>
    <w:p w:rsidR="003C725C" w:rsidRDefault="003C725C" w:rsidP="00250EE3">
      <w:pPr>
        <w:rPr>
          <w:b/>
          <w:bCs/>
          <w:sz w:val="24"/>
          <w:szCs w:val="24"/>
          <w:u w:val="single"/>
        </w:rPr>
      </w:pPr>
    </w:p>
    <w:p w:rsidR="009C2C24" w:rsidRDefault="00250EE3" w:rsidP="00250EE3">
      <w:r w:rsidRPr="009C2C24">
        <w:t xml:space="preserve">IEP is developing a cloud based country </w:t>
      </w:r>
      <w:r w:rsidR="009F04A3">
        <w:t xml:space="preserve">analytic and </w:t>
      </w:r>
      <w:r w:rsidRPr="009C2C24">
        <w:t xml:space="preserve">risk assessment software product to offer to </w:t>
      </w:r>
      <w:r w:rsidR="00C658BB" w:rsidRPr="009C2C24">
        <w:t xml:space="preserve">academic institutions, </w:t>
      </w:r>
      <w:r w:rsidRPr="009C2C24">
        <w:t xml:space="preserve">multi-lateral organisations, governments and businesses to enable them to </w:t>
      </w:r>
      <w:r w:rsidR="009F04A3">
        <w:t>easily craft country based analytics.</w:t>
      </w:r>
      <w:r w:rsidRPr="009C2C24">
        <w:t xml:space="preserve"> </w:t>
      </w:r>
    </w:p>
    <w:p w:rsidR="003C725C" w:rsidRDefault="003C725C" w:rsidP="00250EE3"/>
    <w:p w:rsidR="009C2C24" w:rsidRPr="00964B25" w:rsidRDefault="00785948" w:rsidP="009C2C24">
      <w:pPr>
        <w:pStyle w:val="BodyText"/>
        <w:jc w:val="left"/>
        <w:rPr>
          <w:rFonts w:asciiTheme="minorHAnsi" w:hAnsiTheme="minorHAnsi"/>
          <w:sz w:val="22"/>
          <w:szCs w:val="22"/>
        </w:rPr>
      </w:pPr>
      <w:r>
        <w:rPr>
          <w:rFonts w:asciiTheme="minorHAnsi" w:hAnsiTheme="minorHAnsi"/>
          <w:color w:val="000000"/>
          <w:sz w:val="22"/>
          <w:szCs w:val="22"/>
          <w:lang w:val="en-AU"/>
        </w:rPr>
        <w:t>IEP</w:t>
      </w:r>
      <w:r w:rsidR="00700ED5">
        <w:rPr>
          <w:rFonts w:asciiTheme="minorHAnsi" w:hAnsiTheme="minorHAnsi"/>
          <w:color w:val="000000"/>
          <w:sz w:val="22"/>
          <w:szCs w:val="22"/>
          <w:lang w:val="en-AU"/>
        </w:rPr>
        <w:t xml:space="preserve"> country </w:t>
      </w:r>
      <w:r w:rsidR="009F04A3">
        <w:rPr>
          <w:rFonts w:asciiTheme="minorHAnsi" w:hAnsiTheme="minorHAnsi"/>
          <w:color w:val="000000"/>
          <w:sz w:val="22"/>
          <w:szCs w:val="22"/>
          <w:lang w:val="en-AU"/>
        </w:rPr>
        <w:t>analytic</w:t>
      </w:r>
      <w:r w:rsidR="00700ED5">
        <w:rPr>
          <w:rFonts w:asciiTheme="minorHAnsi" w:hAnsiTheme="minorHAnsi"/>
          <w:color w:val="000000"/>
          <w:sz w:val="22"/>
          <w:szCs w:val="22"/>
          <w:lang w:val="en-AU"/>
        </w:rPr>
        <w:t xml:space="preserve"> product</w:t>
      </w:r>
      <w:r w:rsidR="009C2C24">
        <w:rPr>
          <w:rFonts w:asciiTheme="minorHAnsi" w:hAnsiTheme="minorHAnsi"/>
          <w:b/>
          <w:sz w:val="28"/>
          <w:szCs w:val="28"/>
        </w:rPr>
        <w:t xml:space="preserve"> </w:t>
      </w:r>
      <w:r w:rsidR="009C2C24">
        <w:rPr>
          <w:rFonts w:asciiTheme="minorHAnsi" w:hAnsiTheme="minorHAnsi"/>
          <w:sz w:val="22"/>
          <w:szCs w:val="22"/>
        </w:rPr>
        <w:t xml:space="preserve">will have below </w:t>
      </w:r>
      <w:r w:rsidR="009C2C24" w:rsidRPr="00751849">
        <w:rPr>
          <w:rFonts w:asciiTheme="minorHAnsi" w:hAnsiTheme="minorHAnsi"/>
          <w:b/>
          <w:sz w:val="22"/>
          <w:szCs w:val="22"/>
        </w:rPr>
        <w:t>key</w:t>
      </w:r>
      <w:r w:rsidR="009C2C24">
        <w:rPr>
          <w:rFonts w:asciiTheme="minorHAnsi" w:hAnsiTheme="minorHAnsi"/>
          <w:sz w:val="22"/>
          <w:szCs w:val="22"/>
        </w:rPr>
        <w:t xml:space="preserve"> </w:t>
      </w:r>
      <w:r w:rsidR="009C2C24" w:rsidRPr="00751849">
        <w:rPr>
          <w:rFonts w:asciiTheme="minorHAnsi" w:hAnsiTheme="minorHAnsi"/>
          <w:b/>
          <w:sz w:val="22"/>
          <w:szCs w:val="22"/>
        </w:rPr>
        <w:t>features</w:t>
      </w:r>
      <w:r w:rsidR="009C2C24">
        <w:rPr>
          <w:rFonts w:asciiTheme="minorHAnsi" w:hAnsiTheme="minorHAnsi"/>
          <w:sz w:val="22"/>
          <w:szCs w:val="22"/>
        </w:rPr>
        <w:t>.</w:t>
      </w:r>
    </w:p>
    <w:p w:rsidR="009C2C24" w:rsidRDefault="009C2C24" w:rsidP="009C2C24">
      <w:pPr>
        <w:pStyle w:val="BodyText"/>
        <w:numPr>
          <w:ilvl w:val="0"/>
          <w:numId w:val="1"/>
        </w:numPr>
        <w:spacing w:before="60" w:after="60"/>
        <w:jc w:val="left"/>
        <w:rPr>
          <w:rFonts w:asciiTheme="minorHAnsi" w:hAnsiTheme="minorHAnsi"/>
          <w:sz w:val="22"/>
          <w:szCs w:val="22"/>
        </w:rPr>
      </w:pPr>
      <w:r>
        <w:rPr>
          <w:rFonts w:asciiTheme="minorHAnsi" w:hAnsiTheme="minorHAnsi"/>
          <w:sz w:val="22"/>
          <w:szCs w:val="22"/>
        </w:rPr>
        <w:t>Cloud based Architecture supporting SaaS subscription model.</w:t>
      </w:r>
    </w:p>
    <w:p w:rsidR="009C2C24" w:rsidRPr="00A932DF" w:rsidRDefault="009C2C24" w:rsidP="009C2C24">
      <w:pPr>
        <w:pStyle w:val="BodyText"/>
        <w:numPr>
          <w:ilvl w:val="0"/>
          <w:numId w:val="1"/>
        </w:numPr>
        <w:spacing w:before="60" w:after="60"/>
        <w:jc w:val="left"/>
        <w:rPr>
          <w:rFonts w:asciiTheme="minorHAnsi" w:hAnsiTheme="minorHAnsi"/>
          <w:sz w:val="22"/>
          <w:szCs w:val="22"/>
        </w:rPr>
      </w:pPr>
      <w:r w:rsidRPr="00A932DF">
        <w:rPr>
          <w:rFonts w:asciiTheme="minorHAnsi" w:hAnsiTheme="minorHAnsi"/>
          <w:sz w:val="22"/>
          <w:szCs w:val="22"/>
        </w:rPr>
        <w:t xml:space="preserve">A simpler and user friendly interface to provide an easy, memorable and meaningful interaction for customers. </w:t>
      </w:r>
    </w:p>
    <w:p w:rsidR="009C2C24" w:rsidRDefault="009C2C24" w:rsidP="009C2C24">
      <w:pPr>
        <w:pStyle w:val="BodyText"/>
        <w:numPr>
          <w:ilvl w:val="0"/>
          <w:numId w:val="1"/>
        </w:numPr>
        <w:spacing w:before="60" w:after="60"/>
        <w:jc w:val="left"/>
        <w:rPr>
          <w:rFonts w:asciiTheme="minorHAnsi" w:hAnsiTheme="minorHAnsi"/>
          <w:sz w:val="22"/>
          <w:szCs w:val="22"/>
        </w:rPr>
      </w:pPr>
      <w:r w:rsidRPr="00964B25">
        <w:rPr>
          <w:rFonts w:asciiTheme="minorHAnsi" w:hAnsiTheme="minorHAnsi"/>
          <w:sz w:val="22"/>
          <w:szCs w:val="22"/>
        </w:rPr>
        <w:t xml:space="preserve">Enable </w:t>
      </w:r>
      <w:r>
        <w:rPr>
          <w:rFonts w:asciiTheme="minorHAnsi" w:hAnsiTheme="minorHAnsi"/>
          <w:sz w:val="22"/>
          <w:szCs w:val="22"/>
        </w:rPr>
        <w:t>quantitative analysis and comparison of IEP risk indicators</w:t>
      </w:r>
    </w:p>
    <w:p w:rsidR="009C2C24" w:rsidRDefault="009C2C24" w:rsidP="009C2C24">
      <w:pPr>
        <w:pStyle w:val="BodyText"/>
        <w:numPr>
          <w:ilvl w:val="0"/>
          <w:numId w:val="1"/>
        </w:numPr>
        <w:spacing w:before="60" w:after="60"/>
        <w:jc w:val="left"/>
        <w:rPr>
          <w:rFonts w:asciiTheme="minorHAnsi" w:hAnsiTheme="minorHAnsi"/>
          <w:sz w:val="22"/>
          <w:szCs w:val="22"/>
        </w:rPr>
      </w:pPr>
      <w:r>
        <w:rPr>
          <w:rFonts w:asciiTheme="minorHAnsi" w:hAnsiTheme="minorHAnsi"/>
          <w:sz w:val="22"/>
          <w:szCs w:val="22"/>
        </w:rPr>
        <w:t>Ability to create, modify, update and delete indexes</w:t>
      </w:r>
      <w:r w:rsidR="009F04A3">
        <w:rPr>
          <w:rFonts w:asciiTheme="minorHAnsi" w:hAnsiTheme="minorHAnsi"/>
          <w:sz w:val="22"/>
          <w:szCs w:val="22"/>
        </w:rPr>
        <w:t>, country profiles</w:t>
      </w:r>
      <w:r>
        <w:rPr>
          <w:rFonts w:asciiTheme="minorHAnsi" w:hAnsiTheme="minorHAnsi"/>
          <w:sz w:val="22"/>
          <w:szCs w:val="22"/>
        </w:rPr>
        <w:t xml:space="preserve"> and risk models.</w:t>
      </w:r>
    </w:p>
    <w:p w:rsidR="009C2C24" w:rsidRDefault="009C2C24" w:rsidP="009C2C24">
      <w:pPr>
        <w:pStyle w:val="BodyText"/>
        <w:numPr>
          <w:ilvl w:val="0"/>
          <w:numId w:val="1"/>
        </w:numPr>
        <w:spacing w:before="60" w:after="60"/>
        <w:jc w:val="left"/>
        <w:rPr>
          <w:rFonts w:asciiTheme="minorHAnsi" w:hAnsiTheme="minorHAnsi"/>
          <w:sz w:val="22"/>
          <w:szCs w:val="22"/>
        </w:rPr>
      </w:pPr>
      <w:r>
        <w:rPr>
          <w:rFonts w:asciiTheme="minorHAnsi" w:hAnsiTheme="minorHAnsi"/>
          <w:sz w:val="22"/>
          <w:szCs w:val="22"/>
        </w:rPr>
        <w:t>Access to pre-defined IEP indexes, risk models and country profiles.</w:t>
      </w:r>
    </w:p>
    <w:p w:rsidR="009C2C24" w:rsidRPr="00964B25" w:rsidRDefault="009C2C24" w:rsidP="009C2C24">
      <w:pPr>
        <w:pStyle w:val="BodyText"/>
        <w:numPr>
          <w:ilvl w:val="0"/>
          <w:numId w:val="1"/>
        </w:numPr>
        <w:spacing w:before="60" w:after="60"/>
        <w:jc w:val="left"/>
        <w:rPr>
          <w:rFonts w:asciiTheme="minorHAnsi" w:hAnsiTheme="minorHAnsi"/>
          <w:sz w:val="22"/>
          <w:szCs w:val="22"/>
        </w:rPr>
      </w:pPr>
      <w:r>
        <w:rPr>
          <w:rFonts w:asciiTheme="minorHAnsi" w:hAnsiTheme="minorHAnsi"/>
          <w:sz w:val="22"/>
          <w:szCs w:val="22"/>
        </w:rPr>
        <w:t>Compare and e</w:t>
      </w:r>
      <w:r w:rsidRPr="00964B25">
        <w:rPr>
          <w:rFonts w:asciiTheme="minorHAnsi" w:hAnsiTheme="minorHAnsi"/>
          <w:sz w:val="22"/>
          <w:szCs w:val="22"/>
        </w:rPr>
        <w:t>valuate indexes using data visualization techniques i</w:t>
      </w:r>
      <w:r>
        <w:rPr>
          <w:rFonts w:asciiTheme="minorHAnsi" w:hAnsiTheme="minorHAnsi"/>
          <w:sz w:val="22"/>
          <w:szCs w:val="22"/>
        </w:rPr>
        <w:t>.</w:t>
      </w:r>
      <w:r w:rsidRPr="00964B25">
        <w:rPr>
          <w:rFonts w:asciiTheme="minorHAnsi" w:hAnsiTheme="minorHAnsi"/>
          <w:sz w:val="22"/>
          <w:szCs w:val="22"/>
        </w:rPr>
        <w:t>e</w:t>
      </w:r>
      <w:r>
        <w:rPr>
          <w:rFonts w:asciiTheme="minorHAnsi" w:hAnsiTheme="minorHAnsi"/>
          <w:sz w:val="22"/>
          <w:szCs w:val="22"/>
        </w:rPr>
        <w:t>.</w:t>
      </w:r>
      <w:r w:rsidRPr="00964B25">
        <w:rPr>
          <w:rFonts w:asciiTheme="minorHAnsi" w:hAnsiTheme="minorHAnsi"/>
          <w:sz w:val="22"/>
          <w:szCs w:val="22"/>
        </w:rPr>
        <w:t xml:space="preserve"> </w:t>
      </w:r>
      <w:r>
        <w:rPr>
          <w:rFonts w:asciiTheme="minorHAnsi" w:hAnsiTheme="minorHAnsi"/>
          <w:sz w:val="22"/>
          <w:szCs w:val="22"/>
        </w:rPr>
        <w:t>bar charts</w:t>
      </w:r>
      <w:r w:rsidRPr="00964B25">
        <w:rPr>
          <w:rFonts w:asciiTheme="minorHAnsi" w:hAnsiTheme="minorHAnsi"/>
          <w:sz w:val="22"/>
          <w:szCs w:val="22"/>
        </w:rPr>
        <w:t xml:space="preserve">, pie charts, </w:t>
      </w:r>
      <w:r>
        <w:rPr>
          <w:rFonts w:asciiTheme="minorHAnsi" w:hAnsiTheme="minorHAnsi"/>
          <w:sz w:val="22"/>
          <w:szCs w:val="22"/>
        </w:rPr>
        <w:t>time series,</w:t>
      </w:r>
      <w:r w:rsidRPr="00964B25">
        <w:rPr>
          <w:rFonts w:asciiTheme="minorHAnsi" w:hAnsiTheme="minorHAnsi"/>
          <w:sz w:val="22"/>
          <w:szCs w:val="22"/>
        </w:rPr>
        <w:t xml:space="preserve"> scatter plots</w:t>
      </w:r>
      <w:r>
        <w:rPr>
          <w:rFonts w:asciiTheme="minorHAnsi" w:hAnsiTheme="minorHAnsi"/>
          <w:sz w:val="22"/>
          <w:szCs w:val="22"/>
        </w:rPr>
        <w:t>, histograms</w:t>
      </w:r>
      <w:r w:rsidRPr="00964B25">
        <w:rPr>
          <w:rFonts w:asciiTheme="minorHAnsi" w:hAnsiTheme="minorHAnsi"/>
          <w:sz w:val="22"/>
          <w:szCs w:val="22"/>
        </w:rPr>
        <w:t xml:space="preserve"> etc.</w:t>
      </w:r>
      <w:r>
        <w:rPr>
          <w:rFonts w:asciiTheme="minorHAnsi" w:hAnsiTheme="minorHAnsi"/>
          <w:sz w:val="22"/>
          <w:szCs w:val="22"/>
        </w:rPr>
        <w:t xml:space="preserve"> </w:t>
      </w:r>
    </w:p>
    <w:p w:rsidR="009C2C24" w:rsidRDefault="009C2C24" w:rsidP="009C2C24">
      <w:pPr>
        <w:pStyle w:val="BodyText"/>
        <w:numPr>
          <w:ilvl w:val="0"/>
          <w:numId w:val="1"/>
        </w:numPr>
        <w:spacing w:before="60" w:after="60"/>
        <w:jc w:val="left"/>
        <w:rPr>
          <w:rFonts w:asciiTheme="minorHAnsi" w:hAnsiTheme="minorHAnsi"/>
          <w:sz w:val="22"/>
          <w:szCs w:val="22"/>
        </w:rPr>
      </w:pPr>
      <w:r w:rsidRPr="00964B25">
        <w:rPr>
          <w:rFonts w:asciiTheme="minorHAnsi" w:hAnsiTheme="minorHAnsi"/>
          <w:sz w:val="22"/>
          <w:szCs w:val="22"/>
        </w:rPr>
        <w:t>Ability to generate customized country</w:t>
      </w:r>
      <w:r>
        <w:rPr>
          <w:rFonts w:asciiTheme="minorHAnsi" w:hAnsiTheme="minorHAnsi"/>
          <w:sz w:val="22"/>
          <w:szCs w:val="22"/>
        </w:rPr>
        <w:t xml:space="preserve"> </w:t>
      </w:r>
      <w:r w:rsidR="009F04A3">
        <w:rPr>
          <w:rFonts w:asciiTheme="minorHAnsi" w:hAnsiTheme="minorHAnsi"/>
          <w:sz w:val="22"/>
          <w:szCs w:val="22"/>
        </w:rPr>
        <w:t>analytic</w:t>
      </w:r>
      <w:r w:rsidRPr="00964B25">
        <w:rPr>
          <w:rFonts w:asciiTheme="minorHAnsi" w:hAnsiTheme="minorHAnsi"/>
          <w:sz w:val="22"/>
          <w:szCs w:val="22"/>
        </w:rPr>
        <w:t xml:space="preserve"> profiles by analyzing</w:t>
      </w:r>
      <w:r>
        <w:rPr>
          <w:rFonts w:asciiTheme="minorHAnsi" w:hAnsiTheme="minorHAnsi"/>
          <w:sz w:val="22"/>
          <w:szCs w:val="22"/>
        </w:rPr>
        <w:t xml:space="preserve"> </w:t>
      </w:r>
      <w:r w:rsidR="009F04A3">
        <w:rPr>
          <w:rFonts w:asciiTheme="minorHAnsi" w:hAnsiTheme="minorHAnsi"/>
          <w:sz w:val="22"/>
          <w:szCs w:val="22"/>
        </w:rPr>
        <w:t>a large range of indicators including</w:t>
      </w:r>
      <w:r w:rsidRPr="00964B25">
        <w:rPr>
          <w:rFonts w:asciiTheme="minorHAnsi" w:hAnsiTheme="minorHAnsi"/>
          <w:sz w:val="22"/>
          <w:szCs w:val="22"/>
        </w:rPr>
        <w:t xml:space="preserve"> economics, </w:t>
      </w:r>
      <w:r>
        <w:rPr>
          <w:rFonts w:asciiTheme="minorHAnsi" w:hAnsiTheme="minorHAnsi"/>
          <w:sz w:val="22"/>
          <w:szCs w:val="22"/>
        </w:rPr>
        <w:t xml:space="preserve">society, </w:t>
      </w:r>
      <w:r w:rsidRPr="00964B25">
        <w:rPr>
          <w:rFonts w:asciiTheme="minorHAnsi" w:hAnsiTheme="minorHAnsi"/>
          <w:sz w:val="22"/>
          <w:szCs w:val="22"/>
        </w:rPr>
        <w:t>peace, conflict and violence.</w:t>
      </w:r>
    </w:p>
    <w:p w:rsidR="009C2C24" w:rsidRDefault="009C2C24" w:rsidP="009C2C24">
      <w:pPr>
        <w:pStyle w:val="BodyText"/>
        <w:numPr>
          <w:ilvl w:val="0"/>
          <w:numId w:val="1"/>
        </w:numPr>
        <w:spacing w:before="60" w:after="60"/>
        <w:jc w:val="left"/>
        <w:rPr>
          <w:rFonts w:asciiTheme="minorHAnsi" w:hAnsiTheme="minorHAnsi"/>
          <w:sz w:val="22"/>
          <w:szCs w:val="22"/>
        </w:rPr>
      </w:pPr>
      <w:r>
        <w:rPr>
          <w:rFonts w:asciiTheme="minorHAnsi" w:hAnsiTheme="minorHAnsi"/>
          <w:sz w:val="22"/>
          <w:szCs w:val="22"/>
        </w:rPr>
        <w:t>Identify a country’s risk of falling in GPI, PPI or GTI rankings.</w:t>
      </w:r>
    </w:p>
    <w:p w:rsidR="009F04A3" w:rsidRDefault="009F04A3" w:rsidP="009C2C24">
      <w:pPr>
        <w:pStyle w:val="BodyText"/>
        <w:numPr>
          <w:ilvl w:val="0"/>
          <w:numId w:val="1"/>
        </w:numPr>
        <w:spacing w:before="60" w:after="60"/>
        <w:jc w:val="left"/>
        <w:rPr>
          <w:rFonts w:asciiTheme="minorHAnsi" w:hAnsiTheme="minorHAnsi"/>
          <w:sz w:val="22"/>
          <w:szCs w:val="22"/>
        </w:rPr>
      </w:pPr>
      <w:r>
        <w:rPr>
          <w:rFonts w:asciiTheme="minorHAnsi" w:hAnsiTheme="minorHAnsi"/>
          <w:sz w:val="22"/>
          <w:szCs w:val="22"/>
        </w:rPr>
        <w:t>Identify a country’s level of societal resilience based on prior empiric research</w:t>
      </w:r>
    </w:p>
    <w:p w:rsidR="009C2C24" w:rsidRDefault="009C2C24" w:rsidP="009C2C24">
      <w:pPr>
        <w:pStyle w:val="BodyText"/>
        <w:numPr>
          <w:ilvl w:val="0"/>
          <w:numId w:val="1"/>
        </w:numPr>
        <w:spacing w:before="60" w:after="60"/>
        <w:jc w:val="left"/>
        <w:rPr>
          <w:rFonts w:asciiTheme="minorHAnsi" w:hAnsiTheme="minorHAnsi"/>
          <w:sz w:val="22"/>
          <w:szCs w:val="22"/>
        </w:rPr>
      </w:pPr>
      <w:r w:rsidRPr="00964B25">
        <w:rPr>
          <w:rFonts w:asciiTheme="minorHAnsi" w:hAnsiTheme="minorHAnsi"/>
          <w:sz w:val="22"/>
          <w:szCs w:val="22"/>
        </w:rPr>
        <w:lastRenderedPageBreak/>
        <w:t xml:space="preserve">Enable </w:t>
      </w:r>
      <w:r w:rsidR="00700ED5">
        <w:rPr>
          <w:rFonts w:asciiTheme="minorHAnsi" w:hAnsiTheme="minorHAnsi"/>
          <w:sz w:val="22"/>
          <w:szCs w:val="22"/>
        </w:rPr>
        <w:t>academics</w:t>
      </w:r>
      <w:r w:rsidRPr="00964B25">
        <w:rPr>
          <w:rFonts w:asciiTheme="minorHAnsi" w:hAnsiTheme="minorHAnsi"/>
          <w:sz w:val="22"/>
          <w:szCs w:val="22"/>
        </w:rPr>
        <w:t xml:space="preserve"> to compare cross country </w:t>
      </w:r>
      <w:r>
        <w:rPr>
          <w:rFonts w:asciiTheme="minorHAnsi" w:hAnsiTheme="minorHAnsi"/>
          <w:sz w:val="22"/>
          <w:szCs w:val="22"/>
        </w:rPr>
        <w:t>socio-economic data, and help find correlation between risk indicators</w:t>
      </w:r>
      <w:r w:rsidRPr="00964B25">
        <w:rPr>
          <w:rFonts w:asciiTheme="minorHAnsi" w:hAnsiTheme="minorHAnsi"/>
          <w:sz w:val="22"/>
          <w:szCs w:val="22"/>
        </w:rPr>
        <w:t>.</w:t>
      </w:r>
    </w:p>
    <w:p w:rsidR="009C2C24" w:rsidRDefault="009C2C24" w:rsidP="009C2C24">
      <w:pPr>
        <w:pStyle w:val="BodyText"/>
        <w:numPr>
          <w:ilvl w:val="0"/>
          <w:numId w:val="1"/>
        </w:numPr>
        <w:spacing w:before="60" w:after="60"/>
        <w:jc w:val="left"/>
        <w:rPr>
          <w:rFonts w:asciiTheme="minorHAnsi" w:hAnsiTheme="minorHAnsi"/>
          <w:sz w:val="22"/>
          <w:szCs w:val="22"/>
        </w:rPr>
      </w:pPr>
      <w:r>
        <w:rPr>
          <w:rFonts w:asciiTheme="minorHAnsi" w:hAnsiTheme="minorHAnsi"/>
          <w:sz w:val="22"/>
          <w:szCs w:val="22"/>
        </w:rPr>
        <w:t>Upload client data or modify IEP data to better understand the flow on effect of changes.</w:t>
      </w:r>
    </w:p>
    <w:p w:rsidR="009C2C24" w:rsidRDefault="009C2C24" w:rsidP="009C2C24">
      <w:pPr>
        <w:pStyle w:val="BodyText"/>
        <w:numPr>
          <w:ilvl w:val="0"/>
          <w:numId w:val="1"/>
        </w:numPr>
        <w:spacing w:before="60" w:after="60"/>
        <w:jc w:val="left"/>
        <w:rPr>
          <w:rFonts w:asciiTheme="minorHAnsi" w:hAnsiTheme="minorHAnsi"/>
          <w:sz w:val="22"/>
          <w:szCs w:val="22"/>
        </w:rPr>
      </w:pPr>
      <w:r>
        <w:rPr>
          <w:rFonts w:asciiTheme="minorHAnsi" w:hAnsiTheme="minorHAnsi"/>
          <w:sz w:val="22"/>
          <w:szCs w:val="22"/>
        </w:rPr>
        <w:t xml:space="preserve">Download client analysis into a pdf, jpeg, </w:t>
      </w:r>
      <w:proofErr w:type="spellStart"/>
      <w:r w:rsidR="00577D9D">
        <w:rPr>
          <w:rFonts w:asciiTheme="minorHAnsi" w:hAnsiTheme="minorHAnsi"/>
          <w:sz w:val="22"/>
          <w:szCs w:val="22"/>
        </w:rPr>
        <w:t>png</w:t>
      </w:r>
      <w:proofErr w:type="spellEnd"/>
      <w:r>
        <w:rPr>
          <w:rFonts w:asciiTheme="minorHAnsi" w:hAnsiTheme="minorHAnsi"/>
          <w:sz w:val="22"/>
          <w:szCs w:val="22"/>
        </w:rPr>
        <w:t xml:space="preserve"> or excel format.</w:t>
      </w:r>
    </w:p>
    <w:p w:rsidR="009C2C24" w:rsidRDefault="009C2C24" w:rsidP="009C2C24">
      <w:pPr>
        <w:pStyle w:val="BodyText"/>
        <w:numPr>
          <w:ilvl w:val="0"/>
          <w:numId w:val="1"/>
        </w:numPr>
        <w:spacing w:before="60" w:after="60"/>
        <w:jc w:val="left"/>
        <w:rPr>
          <w:rFonts w:asciiTheme="minorHAnsi" w:hAnsiTheme="minorHAnsi"/>
          <w:sz w:val="22"/>
          <w:szCs w:val="22"/>
        </w:rPr>
      </w:pPr>
      <w:r w:rsidRPr="006679A4">
        <w:rPr>
          <w:rFonts w:asciiTheme="minorHAnsi" w:hAnsiTheme="minorHAnsi"/>
          <w:sz w:val="22"/>
          <w:szCs w:val="22"/>
        </w:rPr>
        <w:t>Allow users to register for 1 month trial or a</w:t>
      </w:r>
      <w:r>
        <w:rPr>
          <w:rFonts w:asciiTheme="minorHAnsi" w:hAnsiTheme="minorHAnsi"/>
          <w:sz w:val="22"/>
          <w:szCs w:val="22"/>
        </w:rPr>
        <w:t xml:space="preserve"> multi-year</w:t>
      </w:r>
      <w:r w:rsidRPr="006679A4">
        <w:rPr>
          <w:rFonts w:asciiTheme="minorHAnsi" w:hAnsiTheme="minorHAnsi"/>
          <w:sz w:val="22"/>
          <w:szCs w:val="22"/>
        </w:rPr>
        <w:t xml:space="preserve"> subscription</w:t>
      </w:r>
      <w:r>
        <w:rPr>
          <w:rFonts w:asciiTheme="minorHAnsi" w:hAnsiTheme="minorHAnsi"/>
          <w:sz w:val="22"/>
          <w:szCs w:val="22"/>
        </w:rPr>
        <w:t xml:space="preserve"> membership.</w:t>
      </w:r>
    </w:p>
    <w:p w:rsidR="009C2C24" w:rsidRDefault="009C2C24" w:rsidP="009C2C24">
      <w:pPr>
        <w:pStyle w:val="BodyText"/>
        <w:numPr>
          <w:ilvl w:val="0"/>
          <w:numId w:val="1"/>
        </w:numPr>
        <w:spacing w:before="60" w:after="60"/>
        <w:jc w:val="left"/>
        <w:rPr>
          <w:rFonts w:asciiTheme="minorHAnsi" w:hAnsiTheme="minorHAnsi"/>
          <w:sz w:val="22"/>
          <w:szCs w:val="22"/>
        </w:rPr>
      </w:pPr>
      <w:r>
        <w:rPr>
          <w:rFonts w:asciiTheme="minorHAnsi" w:hAnsiTheme="minorHAnsi"/>
          <w:sz w:val="22"/>
          <w:szCs w:val="22"/>
        </w:rPr>
        <w:t>Regular data updates to IEP datasets.</w:t>
      </w:r>
    </w:p>
    <w:p w:rsidR="003C725C" w:rsidRDefault="003C725C" w:rsidP="003C725C">
      <w:pPr>
        <w:pStyle w:val="BodyText"/>
        <w:spacing w:before="60" w:after="60"/>
        <w:jc w:val="left"/>
        <w:rPr>
          <w:rFonts w:asciiTheme="minorHAnsi" w:hAnsiTheme="minorHAnsi"/>
          <w:sz w:val="22"/>
          <w:szCs w:val="22"/>
        </w:rPr>
      </w:pPr>
    </w:p>
    <w:p w:rsidR="003C725C" w:rsidRDefault="003C725C" w:rsidP="003C725C">
      <w:pPr>
        <w:rPr>
          <w:b/>
          <w:bCs/>
          <w:sz w:val="24"/>
          <w:szCs w:val="24"/>
          <w:u w:val="single"/>
        </w:rPr>
      </w:pPr>
      <w:r w:rsidRPr="003C725C">
        <w:rPr>
          <w:b/>
          <w:bCs/>
          <w:sz w:val="24"/>
          <w:szCs w:val="24"/>
          <w:u w:val="single"/>
        </w:rPr>
        <w:t>2.</w:t>
      </w:r>
      <w:r w:rsidR="00C27F92">
        <w:rPr>
          <w:b/>
          <w:bCs/>
          <w:sz w:val="24"/>
          <w:szCs w:val="24"/>
          <w:u w:val="single"/>
        </w:rPr>
        <w:t>1</w:t>
      </w:r>
      <w:r w:rsidRPr="003C725C">
        <w:rPr>
          <w:b/>
          <w:bCs/>
          <w:sz w:val="24"/>
          <w:szCs w:val="24"/>
          <w:u w:val="single"/>
        </w:rPr>
        <w:t>) Benefits</w:t>
      </w:r>
    </w:p>
    <w:p w:rsidR="00C27F92" w:rsidRDefault="00C27F92" w:rsidP="003C725C">
      <w:pPr>
        <w:rPr>
          <w:b/>
          <w:bCs/>
          <w:sz w:val="24"/>
          <w:szCs w:val="24"/>
          <w:u w:val="single"/>
        </w:rPr>
      </w:pPr>
    </w:p>
    <w:p w:rsidR="00C27F92" w:rsidRPr="00C27F92" w:rsidRDefault="009F04A3" w:rsidP="003C725C">
      <w:pPr>
        <w:rPr>
          <w:bCs/>
          <w:sz w:val="24"/>
          <w:szCs w:val="24"/>
        </w:rPr>
      </w:pPr>
      <w:r>
        <w:rPr>
          <w:bCs/>
          <w:sz w:val="24"/>
          <w:szCs w:val="24"/>
        </w:rPr>
        <w:t xml:space="preserve">The </w:t>
      </w:r>
      <w:proofErr w:type="gramStart"/>
      <w:r>
        <w:rPr>
          <w:bCs/>
          <w:sz w:val="24"/>
          <w:szCs w:val="24"/>
        </w:rPr>
        <w:t xml:space="preserve">key </w:t>
      </w:r>
      <w:r w:rsidR="00C27F92" w:rsidRPr="00C27F92">
        <w:rPr>
          <w:bCs/>
          <w:sz w:val="24"/>
          <w:szCs w:val="24"/>
        </w:rPr>
        <w:t xml:space="preserve"> product</w:t>
      </w:r>
      <w:proofErr w:type="gramEnd"/>
      <w:r w:rsidR="00C27F92" w:rsidRPr="00C27F92">
        <w:rPr>
          <w:bCs/>
          <w:sz w:val="24"/>
          <w:szCs w:val="24"/>
        </w:rPr>
        <w:t xml:space="preserve"> benefits are</w:t>
      </w:r>
    </w:p>
    <w:p w:rsidR="003C725C" w:rsidRDefault="003C725C" w:rsidP="00C27F92">
      <w:pPr>
        <w:numPr>
          <w:ilvl w:val="0"/>
          <w:numId w:val="10"/>
        </w:numPr>
        <w:spacing w:line="276" w:lineRule="auto"/>
        <w:rPr>
          <w:rFonts w:asciiTheme="minorHAnsi" w:hAnsiTheme="minorHAnsi" w:cstheme="minorBidi"/>
        </w:rPr>
      </w:pPr>
      <w:r w:rsidRPr="00C27F92">
        <w:rPr>
          <w:rFonts w:asciiTheme="minorHAnsi" w:hAnsiTheme="minorHAnsi" w:cstheme="minorBidi"/>
          <w:b/>
        </w:rPr>
        <w:t>Simplicity</w:t>
      </w:r>
      <w:r w:rsidRPr="003C725C">
        <w:rPr>
          <w:rFonts w:asciiTheme="minorHAnsi" w:hAnsiTheme="minorHAnsi" w:cstheme="minorBidi"/>
        </w:rPr>
        <w:t xml:space="preserve"> – Automates complex statistical analysis</w:t>
      </w:r>
      <w:r w:rsidR="00C27F92">
        <w:rPr>
          <w:rFonts w:asciiTheme="minorHAnsi" w:hAnsiTheme="minorHAnsi" w:cstheme="minorBidi"/>
        </w:rPr>
        <w:t xml:space="preserve"> and saves academics and students time on manually updating spreadsheets and graphs to include in their analysis and research.</w:t>
      </w:r>
    </w:p>
    <w:p w:rsidR="009F04A3" w:rsidRPr="00301437" w:rsidRDefault="009F04A3" w:rsidP="00C27F92">
      <w:pPr>
        <w:numPr>
          <w:ilvl w:val="0"/>
          <w:numId w:val="10"/>
        </w:numPr>
        <w:spacing w:line="276" w:lineRule="auto"/>
        <w:rPr>
          <w:rFonts w:asciiTheme="minorHAnsi" w:hAnsiTheme="minorHAnsi" w:cstheme="minorBidi"/>
        </w:rPr>
      </w:pPr>
      <w:r w:rsidRPr="00301437">
        <w:rPr>
          <w:rFonts w:asciiTheme="minorHAnsi" w:hAnsiTheme="minorHAnsi" w:cstheme="minorBidi"/>
          <w:b/>
        </w:rPr>
        <w:t>Advanced Country Analytics</w:t>
      </w:r>
      <w:r>
        <w:rPr>
          <w:rFonts w:asciiTheme="minorHAnsi" w:hAnsiTheme="minorHAnsi" w:cstheme="minorBidi"/>
        </w:rPr>
        <w:t xml:space="preserve"> – Hundreds of data views, indexes and country profiles. </w:t>
      </w:r>
    </w:p>
    <w:p w:rsidR="003C725C" w:rsidRDefault="003C725C" w:rsidP="00C27F92">
      <w:pPr>
        <w:numPr>
          <w:ilvl w:val="0"/>
          <w:numId w:val="10"/>
        </w:numPr>
        <w:spacing w:line="276" w:lineRule="auto"/>
        <w:rPr>
          <w:rFonts w:asciiTheme="minorHAnsi" w:hAnsiTheme="minorHAnsi" w:cstheme="minorBidi"/>
        </w:rPr>
      </w:pPr>
      <w:r w:rsidRPr="00C27F92">
        <w:rPr>
          <w:rFonts w:asciiTheme="minorHAnsi" w:hAnsiTheme="minorHAnsi" w:cstheme="minorBidi"/>
          <w:b/>
        </w:rPr>
        <w:t>Superior Risk Analysis</w:t>
      </w:r>
      <w:r w:rsidRPr="003C725C">
        <w:rPr>
          <w:rFonts w:asciiTheme="minorHAnsi" w:hAnsiTheme="minorHAnsi" w:cstheme="minorBidi"/>
        </w:rPr>
        <w:t xml:space="preserve"> – Unique </w:t>
      </w:r>
      <w:r w:rsidR="00C27F92">
        <w:rPr>
          <w:rFonts w:asciiTheme="minorHAnsi" w:hAnsiTheme="minorHAnsi" w:cstheme="minorBidi"/>
        </w:rPr>
        <w:t xml:space="preserve">research </w:t>
      </w:r>
      <w:r w:rsidRPr="003C725C">
        <w:rPr>
          <w:rFonts w:asciiTheme="minorHAnsi" w:hAnsiTheme="minorHAnsi" w:cstheme="minorBidi"/>
        </w:rPr>
        <w:t>methodology to forecast systemic country risk</w:t>
      </w:r>
      <w:r w:rsidR="00C27F92">
        <w:rPr>
          <w:rFonts w:asciiTheme="minorHAnsi" w:hAnsiTheme="minorHAnsi" w:cstheme="minorBidi"/>
        </w:rPr>
        <w:t xml:space="preserve"> using IEP risk models</w:t>
      </w:r>
      <w:r w:rsidRPr="003C725C">
        <w:rPr>
          <w:rFonts w:asciiTheme="minorHAnsi" w:hAnsiTheme="minorHAnsi" w:cstheme="minorBidi"/>
        </w:rPr>
        <w:t>.</w:t>
      </w:r>
      <w:r w:rsidR="00C27F92">
        <w:rPr>
          <w:rFonts w:asciiTheme="minorHAnsi" w:hAnsiTheme="minorHAnsi" w:cstheme="minorBidi"/>
        </w:rPr>
        <w:t xml:space="preserve"> </w:t>
      </w:r>
    </w:p>
    <w:p w:rsidR="003C725C" w:rsidRDefault="003C725C" w:rsidP="00C27F92">
      <w:pPr>
        <w:numPr>
          <w:ilvl w:val="0"/>
          <w:numId w:val="10"/>
        </w:numPr>
        <w:spacing w:line="276" w:lineRule="auto"/>
        <w:rPr>
          <w:rFonts w:asciiTheme="minorHAnsi" w:hAnsiTheme="minorHAnsi" w:cstheme="minorBidi"/>
        </w:rPr>
      </w:pPr>
      <w:r w:rsidRPr="00C27F92">
        <w:rPr>
          <w:rFonts w:asciiTheme="minorHAnsi" w:hAnsiTheme="minorHAnsi" w:cstheme="minorBidi"/>
          <w:b/>
        </w:rPr>
        <w:t>Superior Opportunity Analysis</w:t>
      </w:r>
      <w:r w:rsidRPr="003C725C">
        <w:rPr>
          <w:rFonts w:asciiTheme="minorHAnsi" w:hAnsiTheme="minorHAnsi" w:cstheme="minorBidi"/>
        </w:rPr>
        <w:t xml:space="preserve"> – Enable probability measures for which countries will have</w:t>
      </w:r>
      <w:r w:rsidR="00C27F92">
        <w:rPr>
          <w:rFonts w:asciiTheme="minorHAnsi" w:hAnsiTheme="minorHAnsi" w:cstheme="minorBidi"/>
        </w:rPr>
        <w:t xml:space="preserve"> </w:t>
      </w:r>
    </w:p>
    <w:p w:rsidR="003C725C" w:rsidRDefault="003C725C" w:rsidP="00C27F92">
      <w:pPr>
        <w:spacing w:line="276" w:lineRule="auto"/>
        <w:ind w:left="360" w:firstLine="360"/>
        <w:rPr>
          <w:rFonts w:asciiTheme="minorHAnsi" w:hAnsiTheme="minorHAnsi" w:cstheme="minorBidi"/>
        </w:rPr>
      </w:pPr>
      <w:r w:rsidRPr="003C725C">
        <w:rPr>
          <w:rFonts w:asciiTheme="minorHAnsi" w:hAnsiTheme="minorHAnsi" w:cstheme="minorBidi"/>
        </w:rPr>
        <w:t xml:space="preserve">the potential for sustained long term future growth. </w:t>
      </w:r>
    </w:p>
    <w:p w:rsidR="003C725C" w:rsidRDefault="0077620E" w:rsidP="00C27F92">
      <w:pPr>
        <w:numPr>
          <w:ilvl w:val="0"/>
          <w:numId w:val="10"/>
        </w:numPr>
        <w:spacing w:line="276" w:lineRule="auto"/>
        <w:rPr>
          <w:rFonts w:asciiTheme="minorHAnsi" w:hAnsiTheme="minorHAnsi" w:cstheme="minorBidi"/>
        </w:rPr>
      </w:pPr>
      <w:r>
        <w:rPr>
          <w:rFonts w:asciiTheme="minorHAnsi" w:hAnsiTheme="minorHAnsi" w:cstheme="minorBidi"/>
          <w:b/>
        </w:rPr>
        <w:t>Streamlined country information</w:t>
      </w:r>
      <w:r w:rsidR="003C725C" w:rsidRPr="00C27F92">
        <w:rPr>
          <w:rFonts w:asciiTheme="minorHAnsi" w:hAnsiTheme="minorHAnsi" w:cstheme="minorBidi"/>
        </w:rPr>
        <w:t xml:space="preserve"> – Hundreds of pre-defined views of country risk data</w:t>
      </w:r>
    </w:p>
    <w:p w:rsidR="003C725C" w:rsidRPr="00C27F92" w:rsidRDefault="003C725C" w:rsidP="000950C7">
      <w:pPr>
        <w:numPr>
          <w:ilvl w:val="0"/>
          <w:numId w:val="10"/>
        </w:numPr>
        <w:spacing w:before="60" w:after="60" w:line="276" w:lineRule="auto"/>
        <w:rPr>
          <w:rFonts w:asciiTheme="minorHAnsi" w:hAnsiTheme="minorHAnsi"/>
        </w:rPr>
      </w:pPr>
      <w:r w:rsidRPr="0077620E">
        <w:rPr>
          <w:rFonts w:asciiTheme="minorHAnsi" w:hAnsiTheme="minorHAnsi" w:cstheme="minorBidi"/>
          <w:b/>
        </w:rPr>
        <w:t>Unique Data</w:t>
      </w:r>
      <w:r w:rsidRPr="00C27F92">
        <w:rPr>
          <w:rFonts w:asciiTheme="minorHAnsi" w:hAnsiTheme="minorHAnsi" w:cstheme="minorBidi"/>
        </w:rPr>
        <w:t xml:space="preserve"> – Access to IEPs original data combined with other data statistically transformed into knowledge.</w:t>
      </w:r>
    </w:p>
    <w:p w:rsidR="009C2C24" w:rsidRDefault="009C2C24" w:rsidP="00250EE3"/>
    <w:p w:rsidR="00DC04D8" w:rsidRPr="003D18FB" w:rsidRDefault="003C725C" w:rsidP="00250EE3">
      <w:pPr>
        <w:rPr>
          <w:b/>
          <w:bCs/>
          <w:sz w:val="24"/>
          <w:szCs w:val="24"/>
          <w:u w:val="single"/>
        </w:rPr>
      </w:pPr>
      <w:r>
        <w:rPr>
          <w:b/>
          <w:bCs/>
          <w:sz w:val="24"/>
          <w:szCs w:val="24"/>
          <w:u w:val="single"/>
        </w:rPr>
        <w:t>2.</w:t>
      </w:r>
      <w:r w:rsidR="00C27F92">
        <w:rPr>
          <w:b/>
          <w:bCs/>
          <w:sz w:val="24"/>
          <w:szCs w:val="24"/>
          <w:u w:val="single"/>
        </w:rPr>
        <w:t>2</w:t>
      </w:r>
      <w:r>
        <w:rPr>
          <w:b/>
          <w:bCs/>
          <w:sz w:val="24"/>
          <w:szCs w:val="24"/>
          <w:u w:val="single"/>
        </w:rPr>
        <w:t xml:space="preserve">) </w:t>
      </w:r>
      <w:r w:rsidR="009C2C24" w:rsidRPr="003D18FB">
        <w:rPr>
          <w:b/>
          <w:bCs/>
          <w:sz w:val="24"/>
          <w:szCs w:val="24"/>
          <w:u w:val="single"/>
        </w:rPr>
        <w:t>IEP Research Data</w:t>
      </w:r>
    </w:p>
    <w:p w:rsidR="008F76A5" w:rsidRDefault="008F76A5" w:rsidP="00250EE3">
      <w:pPr>
        <w:rPr>
          <w:b/>
          <w:u w:val="single"/>
        </w:rPr>
      </w:pPr>
    </w:p>
    <w:p w:rsidR="003D18FB" w:rsidRDefault="00785948" w:rsidP="00250EE3">
      <w:r>
        <w:t>IEP</w:t>
      </w:r>
      <w:r w:rsidR="003D18FB">
        <w:t xml:space="preserve"> </w:t>
      </w:r>
      <w:r w:rsidR="009F04A3">
        <w:t xml:space="preserve">has one of largest harmonised country based datasets </w:t>
      </w:r>
      <w:r w:rsidR="00051942">
        <w:t xml:space="preserve">in the world </w:t>
      </w:r>
      <w:r w:rsidR="008428FD">
        <w:t>with over 8,9</w:t>
      </w:r>
      <w:r w:rsidR="009F04A3">
        <w:t>00 different indexes, attitud</w:t>
      </w:r>
      <w:r w:rsidR="00051942">
        <w:t>in</w:t>
      </w:r>
      <w:r w:rsidR="009F04A3">
        <w:t>al surveys</w:t>
      </w:r>
      <w:r w:rsidR="00051942">
        <w:t xml:space="preserve"> and dataset, as well as IEPs own unique datasets and analysis</w:t>
      </w:r>
      <w:r w:rsidR="008428FD">
        <w:t xml:space="preserve"> which is considered some of the world’s leading research on peace research</w:t>
      </w:r>
      <w:r w:rsidR="00051942">
        <w:t xml:space="preserve">. </w:t>
      </w:r>
      <w:r w:rsidR="008428FD">
        <w:t>The product</w:t>
      </w:r>
      <w:r w:rsidR="003D18FB">
        <w:t xml:space="preserve"> will enable academics, students and researchers access to our acclaimed research in the areas of </w:t>
      </w:r>
      <w:r>
        <w:t>economics and peace studies.</w:t>
      </w:r>
    </w:p>
    <w:p w:rsidR="00785948" w:rsidRPr="003D18FB" w:rsidRDefault="00785948" w:rsidP="00250EE3"/>
    <w:p w:rsidR="00DC04D8" w:rsidRPr="009C2C24" w:rsidRDefault="00785948" w:rsidP="00DC04D8">
      <w:pPr>
        <w:rPr>
          <w:b/>
          <w:u w:val="single"/>
        </w:rPr>
      </w:pPr>
      <w:r>
        <w:rPr>
          <w:rFonts w:asciiTheme="minorHAnsi" w:hAnsiTheme="minorHAnsi"/>
        </w:rPr>
        <w:t>Our</w:t>
      </w:r>
      <w:r w:rsidR="00DC04D8" w:rsidRPr="00964B25">
        <w:rPr>
          <w:rFonts w:asciiTheme="minorHAnsi" w:hAnsiTheme="minorHAnsi"/>
        </w:rPr>
        <w:t xml:space="preserve"> research team </w:t>
      </w:r>
      <w:r w:rsidR="00DC04D8" w:rsidRPr="00964B25">
        <w:rPr>
          <w:rFonts w:asciiTheme="minorHAnsi" w:hAnsiTheme="minorHAnsi"/>
          <w:color w:val="000000"/>
        </w:rPr>
        <w:t>is highly skilled in quantitative techniques and specialised development of indicators and composite indices related to</w:t>
      </w:r>
      <w:r w:rsidR="00DC04D8">
        <w:rPr>
          <w:rFonts w:asciiTheme="minorHAnsi" w:hAnsiTheme="minorHAnsi"/>
          <w:color w:val="000000"/>
        </w:rPr>
        <w:t xml:space="preserve"> global</w:t>
      </w:r>
      <w:r w:rsidR="00DC04D8" w:rsidRPr="00964B25">
        <w:rPr>
          <w:rFonts w:asciiTheme="minorHAnsi" w:hAnsiTheme="minorHAnsi"/>
          <w:color w:val="000000"/>
        </w:rPr>
        <w:t xml:space="preserve"> peace, conflict, and violence</w:t>
      </w:r>
      <w:r w:rsidR="00DC04D8">
        <w:rPr>
          <w:rFonts w:asciiTheme="minorHAnsi" w:hAnsiTheme="minorHAnsi"/>
          <w:color w:val="000000"/>
        </w:rPr>
        <w:t>.</w:t>
      </w:r>
    </w:p>
    <w:p w:rsidR="00577D9D" w:rsidRDefault="00577D9D" w:rsidP="00250EE3">
      <w:pPr>
        <w:rPr>
          <w:b/>
          <w:u w:val="single"/>
        </w:rPr>
      </w:pPr>
    </w:p>
    <w:p w:rsidR="000613C6" w:rsidRDefault="00785948" w:rsidP="000613C6">
      <w:r>
        <w:t>The institute’s studies</w:t>
      </w:r>
      <w:r w:rsidR="00DC04D8">
        <w:t xml:space="preserve"> </w:t>
      </w:r>
      <w:r>
        <w:t>in</w:t>
      </w:r>
      <w:r w:rsidR="00DC04D8">
        <w:t>to find</w:t>
      </w:r>
      <w:r>
        <w:t>ing</w:t>
      </w:r>
      <w:r w:rsidR="00DC04D8">
        <w:t xml:space="preserve"> linkages between economy and peace </w:t>
      </w:r>
      <w:r>
        <w:t>are</w:t>
      </w:r>
      <w:r w:rsidR="00DC04D8">
        <w:t xml:space="preserve"> well defined, well regarded and unique.</w:t>
      </w:r>
      <w:r w:rsidR="00DC04D8" w:rsidRPr="00DC04D8">
        <w:t xml:space="preserve"> </w:t>
      </w:r>
      <w:r w:rsidR="000613C6">
        <w:t xml:space="preserve">IEP analyses over 8,900 different indices, datasets and attitudinal surveys in conjunction with current thinking about the drivers of violent conflict, resilience and peacefulness.  The extensive data coverage of world’s 99.6 % population is harmonized and stored in a </w:t>
      </w:r>
      <w:r>
        <w:t xml:space="preserve">common </w:t>
      </w:r>
      <w:r w:rsidR="000613C6">
        <w:t>database.</w:t>
      </w:r>
    </w:p>
    <w:p w:rsidR="00701541" w:rsidRDefault="00701541" w:rsidP="000613C6"/>
    <w:p w:rsidR="00DC04D8" w:rsidRDefault="000613C6" w:rsidP="00250EE3">
      <w:pPr>
        <w:rPr>
          <w:b/>
          <w:u w:val="single"/>
        </w:rPr>
      </w:pPr>
      <w:r>
        <w:rPr>
          <w:rFonts w:asciiTheme="minorHAnsi" w:hAnsiTheme="minorHAnsi"/>
          <w:color w:val="000000"/>
        </w:rPr>
        <w:t xml:space="preserve">The combination of IEP’s datasets, along with the other data that it has sourced provides an excellent baseline set of data suited to </w:t>
      </w:r>
      <w:r w:rsidR="00DB296D">
        <w:rPr>
          <w:rFonts w:asciiTheme="minorHAnsi" w:hAnsiTheme="minorHAnsi"/>
          <w:color w:val="000000"/>
        </w:rPr>
        <w:t>undertake</w:t>
      </w:r>
      <w:r>
        <w:t xml:space="preserve"> holistic and empirical studies to identify the positive factors which create and sustain peaceful societies.</w:t>
      </w:r>
    </w:p>
    <w:p w:rsidR="000613C6" w:rsidRDefault="000613C6" w:rsidP="00250EE3"/>
    <w:p w:rsidR="001B0283" w:rsidRDefault="000613C6" w:rsidP="00250EE3">
      <w:r>
        <w:t>The institute believes this data is of great value to researchers, academics and students globally interested in peace studies. IEP plans</w:t>
      </w:r>
      <w:r w:rsidR="00250EE3" w:rsidRPr="009C2C24">
        <w:t xml:space="preserve"> to make </w:t>
      </w:r>
      <w:r>
        <w:t xml:space="preserve">our </w:t>
      </w:r>
      <w:r w:rsidR="00250EE3" w:rsidRPr="009C2C24">
        <w:t>research data available to academic institutions and libraries.</w:t>
      </w:r>
    </w:p>
    <w:p w:rsidR="001B0283" w:rsidRDefault="001B0283" w:rsidP="00250EE3"/>
    <w:p w:rsidR="00700ED5" w:rsidRDefault="00DB296D" w:rsidP="00250EE3">
      <w:pPr>
        <w:rPr>
          <w:rFonts w:asciiTheme="minorHAnsi" w:hAnsiTheme="minorHAnsi"/>
          <w:color w:val="000000"/>
        </w:rPr>
      </w:pPr>
      <w:r>
        <w:t xml:space="preserve"> </w:t>
      </w:r>
      <w:r w:rsidR="00700ED5">
        <w:rPr>
          <w:rFonts w:asciiTheme="minorHAnsi" w:hAnsiTheme="minorHAnsi"/>
          <w:color w:val="000000"/>
        </w:rPr>
        <w:t>Institute holds data for below categories</w:t>
      </w:r>
    </w:p>
    <w:p w:rsidR="00DB296D" w:rsidRDefault="00DB296D" w:rsidP="00250EE3">
      <w:pPr>
        <w:rPr>
          <w:rFonts w:asciiTheme="minorHAnsi" w:hAnsiTheme="minorHAnsi"/>
          <w:color w:val="000000"/>
        </w:rPr>
      </w:pPr>
    </w:p>
    <w:tbl>
      <w:tblPr>
        <w:tblStyle w:val="TableGrid"/>
        <w:tblW w:w="0" w:type="auto"/>
        <w:tblLook w:val="04A0" w:firstRow="1" w:lastRow="0" w:firstColumn="1" w:lastColumn="0" w:noHBand="0" w:noVBand="1"/>
      </w:tblPr>
      <w:tblGrid>
        <w:gridCol w:w="2736"/>
        <w:gridCol w:w="6506"/>
      </w:tblGrid>
      <w:tr w:rsidR="00700ED5" w:rsidTr="0012337F">
        <w:tc>
          <w:tcPr>
            <w:tcW w:w="2736" w:type="dxa"/>
            <w:shd w:val="clear" w:color="auto" w:fill="A6A6A6" w:themeFill="background1" w:themeFillShade="A6"/>
          </w:tcPr>
          <w:p w:rsidR="00700ED5" w:rsidRPr="00700ED5" w:rsidRDefault="00700ED5" w:rsidP="0012337F">
            <w:pPr>
              <w:jc w:val="center"/>
              <w:rPr>
                <w:rFonts w:cs="Arial"/>
                <w:b/>
                <w:sz w:val="24"/>
                <w:szCs w:val="24"/>
              </w:rPr>
            </w:pPr>
            <w:r w:rsidRPr="00700ED5">
              <w:rPr>
                <w:rFonts w:cs="Arial"/>
                <w:b/>
                <w:sz w:val="24"/>
                <w:szCs w:val="24"/>
              </w:rPr>
              <w:lastRenderedPageBreak/>
              <w:t>Datasets</w:t>
            </w:r>
          </w:p>
        </w:tc>
        <w:tc>
          <w:tcPr>
            <w:tcW w:w="6506" w:type="dxa"/>
            <w:shd w:val="clear" w:color="auto" w:fill="A6A6A6" w:themeFill="background1" w:themeFillShade="A6"/>
          </w:tcPr>
          <w:p w:rsidR="00700ED5" w:rsidRPr="00700ED5" w:rsidRDefault="00700ED5" w:rsidP="0012337F">
            <w:pPr>
              <w:jc w:val="center"/>
              <w:rPr>
                <w:rFonts w:cs="Arial"/>
                <w:b/>
                <w:sz w:val="24"/>
                <w:szCs w:val="24"/>
              </w:rPr>
            </w:pPr>
            <w:r w:rsidRPr="00700ED5">
              <w:rPr>
                <w:rFonts w:cs="Arial"/>
                <w:b/>
                <w:sz w:val="24"/>
                <w:szCs w:val="24"/>
              </w:rPr>
              <w:t>Indicators</w:t>
            </w:r>
          </w:p>
        </w:tc>
      </w:tr>
      <w:tr w:rsidR="00700ED5" w:rsidTr="0012337F">
        <w:tc>
          <w:tcPr>
            <w:tcW w:w="2736" w:type="dxa"/>
          </w:tcPr>
          <w:p w:rsidR="00700ED5" w:rsidRPr="00DB296D" w:rsidRDefault="00700ED5" w:rsidP="0012337F">
            <w:pPr>
              <w:rPr>
                <w:rFonts w:cs="Arial"/>
                <w:sz w:val="21"/>
                <w:szCs w:val="21"/>
              </w:rPr>
            </w:pPr>
            <w:r w:rsidRPr="00DB296D">
              <w:rPr>
                <w:rFonts w:cs="Arial"/>
                <w:sz w:val="21"/>
                <w:szCs w:val="21"/>
              </w:rPr>
              <w:t>Economic</w:t>
            </w:r>
          </w:p>
        </w:tc>
        <w:tc>
          <w:tcPr>
            <w:tcW w:w="6506" w:type="dxa"/>
          </w:tcPr>
          <w:p w:rsidR="00700ED5" w:rsidRPr="00DB296D" w:rsidRDefault="00700ED5" w:rsidP="00700ED5">
            <w:pPr>
              <w:pStyle w:val="ListParagraph"/>
              <w:numPr>
                <w:ilvl w:val="0"/>
                <w:numId w:val="2"/>
              </w:numPr>
              <w:spacing w:after="0" w:line="240" w:lineRule="auto"/>
              <w:rPr>
                <w:rFonts w:cs="Arial"/>
                <w:sz w:val="21"/>
                <w:szCs w:val="21"/>
              </w:rPr>
            </w:pPr>
            <w:r w:rsidRPr="00DB296D">
              <w:rPr>
                <w:rFonts w:cs="Arial"/>
                <w:sz w:val="21"/>
                <w:szCs w:val="21"/>
              </w:rPr>
              <w:t>Macroeconomics</w:t>
            </w:r>
          </w:p>
          <w:p w:rsidR="00700ED5" w:rsidRPr="00DB296D" w:rsidRDefault="00700ED5" w:rsidP="00700ED5">
            <w:pPr>
              <w:pStyle w:val="ListParagraph"/>
              <w:numPr>
                <w:ilvl w:val="0"/>
                <w:numId w:val="2"/>
              </w:numPr>
              <w:spacing w:after="0" w:line="240" w:lineRule="auto"/>
              <w:rPr>
                <w:rFonts w:cs="Arial"/>
                <w:sz w:val="21"/>
                <w:szCs w:val="21"/>
              </w:rPr>
            </w:pPr>
            <w:r w:rsidRPr="00DB296D">
              <w:rPr>
                <w:rFonts w:cs="Arial"/>
                <w:sz w:val="21"/>
                <w:szCs w:val="21"/>
              </w:rPr>
              <w:t>Finance</w:t>
            </w:r>
          </w:p>
          <w:p w:rsidR="00700ED5" w:rsidRPr="00DB296D" w:rsidRDefault="00700ED5" w:rsidP="00700ED5">
            <w:pPr>
              <w:pStyle w:val="ListParagraph"/>
              <w:numPr>
                <w:ilvl w:val="0"/>
                <w:numId w:val="2"/>
              </w:numPr>
              <w:spacing w:after="0" w:line="240" w:lineRule="auto"/>
              <w:rPr>
                <w:rFonts w:cs="Arial"/>
                <w:sz w:val="21"/>
                <w:szCs w:val="21"/>
              </w:rPr>
            </w:pPr>
            <w:r w:rsidRPr="00DB296D">
              <w:rPr>
                <w:rFonts w:cs="Arial"/>
                <w:sz w:val="21"/>
                <w:szCs w:val="21"/>
              </w:rPr>
              <w:t xml:space="preserve">Government Budget </w:t>
            </w:r>
          </w:p>
          <w:p w:rsidR="00700ED5" w:rsidRPr="00DB296D" w:rsidRDefault="00700ED5" w:rsidP="00700ED5">
            <w:pPr>
              <w:pStyle w:val="ListParagraph"/>
              <w:numPr>
                <w:ilvl w:val="0"/>
                <w:numId w:val="2"/>
              </w:numPr>
              <w:spacing w:after="0" w:line="240" w:lineRule="auto"/>
              <w:rPr>
                <w:rFonts w:cs="Arial"/>
                <w:sz w:val="21"/>
                <w:szCs w:val="21"/>
              </w:rPr>
            </w:pPr>
            <w:r w:rsidRPr="00DB296D">
              <w:rPr>
                <w:rFonts w:cs="Arial"/>
                <w:sz w:val="21"/>
                <w:szCs w:val="21"/>
              </w:rPr>
              <w:t>Infrastructure</w:t>
            </w:r>
          </w:p>
        </w:tc>
      </w:tr>
      <w:tr w:rsidR="00700ED5" w:rsidTr="0012337F">
        <w:tc>
          <w:tcPr>
            <w:tcW w:w="2736" w:type="dxa"/>
          </w:tcPr>
          <w:p w:rsidR="00700ED5" w:rsidRPr="00DB296D" w:rsidRDefault="00700ED5" w:rsidP="0012337F">
            <w:pPr>
              <w:rPr>
                <w:rFonts w:cs="Arial"/>
                <w:sz w:val="21"/>
                <w:szCs w:val="21"/>
              </w:rPr>
            </w:pPr>
            <w:r w:rsidRPr="00DB296D">
              <w:rPr>
                <w:rFonts w:cs="Arial"/>
                <w:sz w:val="21"/>
                <w:szCs w:val="21"/>
              </w:rPr>
              <w:t>Conflict &amp; Violence</w:t>
            </w:r>
          </w:p>
        </w:tc>
        <w:tc>
          <w:tcPr>
            <w:tcW w:w="6506" w:type="dxa"/>
          </w:tcPr>
          <w:p w:rsidR="00700ED5" w:rsidRPr="00DB296D" w:rsidRDefault="00700ED5" w:rsidP="00700ED5">
            <w:pPr>
              <w:pStyle w:val="ListParagraph"/>
              <w:numPr>
                <w:ilvl w:val="0"/>
                <w:numId w:val="3"/>
              </w:numPr>
              <w:spacing w:after="0" w:line="240" w:lineRule="auto"/>
              <w:rPr>
                <w:rFonts w:cs="Arial"/>
                <w:sz w:val="21"/>
                <w:szCs w:val="21"/>
              </w:rPr>
            </w:pPr>
            <w:r w:rsidRPr="00DB296D">
              <w:rPr>
                <w:rFonts w:cs="Arial"/>
                <w:sz w:val="21"/>
                <w:szCs w:val="21"/>
              </w:rPr>
              <w:t>Militarization</w:t>
            </w:r>
          </w:p>
          <w:p w:rsidR="00700ED5" w:rsidRPr="00DB296D" w:rsidRDefault="00700ED5" w:rsidP="00700ED5">
            <w:pPr>
              <w:pStyle w:val="ListParagraph"/>
              <w:numPr>
                <w:ilvl w:val="0"/>
                <w:numId w:val="3"/>
              </w:numPr>
              <w:spacing w:after="0" w:line="240" w:lineRule="auto"/>
              <w:rPr>
                <w:rFonts w:cs="Arial"/>
                <w:sz w:val="21"/>
                <w:szCs w:val="21"/>
              </w:rPr>
            </w:pPr>
            <w:r w:rsidRPr="00DB296D">
              <w:rPr>
                <w:rFonts w:cs="Arial"/>
                <w:sz w:val="21"/>
                <w:szCs w:val="21"/>
              </w:rPr>
              <w:t>Diplomatic Relations</w:t>
            </w:r>
          </w:p>
          <w:p w:rsidR="00700ED5" w:rsidRPr="00DB296D" w:rsidRDefault="00700ED5" w:rsidP="00700ED5">
            <w:pPr>
              <w:pStyle w:val="ListParagraph"/>
              <w:numPr>
                <w:ilvl w:val="0"/>
                <w:numId w:val="3"/>
              </w:numPr>
              <w:spacing w:after="0" w:line="240" w:lineRule="auto"/>
              <w:rPr>
                <w:rFonts w:cs="Arial"/>
                <w:sz w:val="21"/>
                <w:szCs w:val="21"/>
              </w:rPr>
            </w:pPr>
            <w:r w:rsidRPr="00DB296D">
              <w:rPr>
                <w:rFonts w:cs="Arial"/>
                <w:sz w:val="21"/>
                <w:szCs w:val="21"/>
              </w:rPr>
              <w:t>Terrorism</w:t>
            </w:r>
          </w:p>
          <w:p w:rsidR="00700ED5" w:rsidRPr="00DB296D" w:rsidRDefault="00700ED5" w:rsidP="00700ED5">
            <w:pPr>
              <w:pStyle w:val="ListParagraph"/>
              <w:numPr>
                <w:ilvl w:val="0"/>
                <w:numId w:val="3"/>
              </w:numPr>
              <w:spacing w:after="0" w:line="240" w:lineRule="auto"/>
              <w:rPr>
                <w:rFonts w:cs="Arial"/>
                <w:sz w:val="21"/>
                <w:szCs w:val="21"/>
              </w:rPr>
            </w:pPr>
            <w:r w:rsidRPr="00DB296D">
              <w:rPr>
                <w:rFonts w:cs="Arial"/>
                <w:sz w:val="21"/>
                <w:szCs w:val="21"/>
              </w:rPr>
              <w:t>Safety &amp; Security</w:t>
            </w:r>
          </w:p>
          <w:p w:rsidR="00700ED5" w:rsidRPr="00DB296D" w:rsidRDefault="00700ED5" w:rsidP="00700ED5">
            <w:pPr>
              <w:pStyle w:val="ListParagraph"/>
              <w:numPr>
                <w:ilvl w:val="0"/>
                <w:numId w:val="3"/>
              </w:numPr>
              <w:spacing w:after="0" w:line="240" w:lineRule="auto"/>
              <w:rPr>
                <w:rFonts w:cs="Arial"/>
                <w:sz w:val="21"/>
                <w:szCs w:val="21"/>
              </w:rPr>
            </w:pPr>
            <w:r w:rsidRPr="00DB296D">
              <w:rPr>
                <w:rFonts w:cs="Arial"/>
                <w:sz w:val="21"/>
                <w:szCs w:val="21"/>
              </w:rPr>
              <w:t>Ongoing conflict</w:t>
            </w:r>
          </w:p>
        </w:tc>
      </w:tr>
      <w:tr w:rsidR="00700ED5" w:rsidTr="0012337F">
        <w:tc>
          <w:tcPr>
            <w:tcW w:w="2736" w:type="dxa"/>
          </w:tcPr>
          <w:p w:rsidR="00700ED5" w:rsidRPr="00DB296D" w:rsidRDefault="00700ED5" w:rsidP="0012337F">
            <w:pPr>
              <w:rPr>
                <w:rFonts w:cs="Arial"/>
                <w:sz w:val="21"/>
                <w:szCs w:val="21"/>
              </w:rPr>
            </w:pPr>
            <w:r w:rsidRPr="00DB296D">
              <w:rPr>
                <w:rFonts w:cs="Arial"/>
                <w:sz w:val="21"/>
                <w:szCs w:val="21"/>
              </w:rPr>
              <w:t>Political</w:t>
            </w:r>
          </w:p>
        </w:tc>
        <w:tc>
          <w:tcPr>
            <w:tcW w:w="6506" w:type="dxa"/>
          </w:tcPr>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Governance</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Respect for human rights</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 xml:space="preserve">Political institutions </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International Relations</w:t>
            </w:r>
          </w:p>
        </w:tc>
      </w:tr>
      <w:tr w:rsidR="00700ED5" w:rsidTr="0012337F">
        <w:tc>
          <w:tcPr>
            <w:tcW w:w="2736" w:type="dxa"/>
          </w:tcPr>
          <w:p w:rsidR="00700ED5" w:rsidRPr="00DB296D" w:rsidRDefault="00700ED5" w:rsidP="0012337F">
            <w:pPr>
              <w:rPr>
                <w:rFonts w:cs="Arial"/>
                <w:sz w:val="21"/>
                <w:szCs w:val="21"/>
              </w:rPr>
            </w:pPr>
            <w:r w:rsidRPr="00DB296D">
              <w:rPr>
                <w:rFonts w:cs="Arial"/>
                <w:sz w:val="21"/>
                <w:szCs w:val="21"/>
              </w:rPr>
              <w:t>Societal</w:t>
            </w:r>
          </w:p>
        </w:tc>
        <w:tc>
          <w:tcPr>
            <w:tcW w:w="6506" w:type="dxa"/>
          </w:tcPr>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Education</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Health</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Social Capital</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Attitudinal</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Inequality</w:t>
            </w:r>
          </w:p>
        </w:tc>
      </w:tr>
      <w:tr w:rsidR="00700ED5" w:rsidTr="0012337F">
        <w:tc>
          <w:tcPr>
            <w:tcW w:w="2736" w:type="dxa"/>
          </w:tcPr>
          <w:p w:rsidR="00700ED5" w:rsidRPr="00DB296D" w:rsidRDefault="00700ED5" w:rsidP="0012337F">
            <w:pPr>
              <w:rPr>
                <w:rFonts w:cs="Arial"/>
                <w:sz w:val="21"/>
                <w:szCs w:val="21"/>
              </w:rPr>
            </w:pPr>
            <w:r w:rsidRPr="00DB296D">
              <w:rPr>
                <w:rFonts w:cs="Arial"/>
                <w:sz w:val="21"/>
                <w:szCs w:val="21"/>
              </w:rPr>
              <w:t>Geographic</w:t>
            </w:r>
          </w:p>
        </w:tc>
        <w:tc>
          <w:tcPr>
            <w:tcW w:w="6506" w:type="dxa"/>
          </w:tcPr>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Natural Resources</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Natural Disasters</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Ecological</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Metrological</w:t>
            </w:r>
          </w:p>
        </w:tc>
      </w:tr>
      <w:tr w:rsidR="00700ED5" w:rsidTr="0012337F">
        <w:tc>
          <w:tcPr>
            <w:tcW w:w="2736" w:type="dxa"/>
          </w:tcPr>
          <w:p w:rsidR="00700ED5" w:rsidRPr="00DB296D" w:rsidRDefault="00700ED5" w:rsidP="0012337F">
            <w:pPr>
              <w:rPr>
                <w:rFonts w:cs="Arial"/>
                <w:sz w:val="21"/>
                <w:szCs w:val="21"/>
              </w:rPr>
            </w:pPr>
            <w:r w:rsidRPr="00DB296D">
              <w:rPr>
                <w:rFonts w:cs="Arial"/>
                <w:sz w:val="21"/>
                <w:szCs w:val="21"/>
              </w:rPr>
              <w:t>Demographic</w:t>
            </w:r>
          </w:p>
        </w:tc>
        <w:tc>
          <w:tcPr>
            <w:tcW w:w="6506" w:type="dxa"/>
          </w:tcPr>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Ethnicity</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Population</w:t>
            </w:r>
          </w:p>
          <w:p w:rsidR="00700ED5" w:rsidRPr="00DB296D" w:rsidRDefault="00700ED5" w:rsidP="00700ED5">
            <w:pPr>
              <w:pStyle w:val="ListParagraph"/>
              <w:numPr>
                <w:ilvl w:val="0"/>
                <w:numId w:val="4"/>
              </w:numPr>
              <w:spacing w:after="0" w:line="240" w:lineRule="auto"/>
              <w:rPr>
                <w:rFonts w:cs="Arial"/>
                <w:sz w:val="21"/>
                <w:szCs w:val="21"/>
              </w:rPr>
            </w:pPr>
            <w:r w:rsidRPr="00DB296D">
              <w:rPr>
                <w:rFonts w:cs="Arial"/>
                <w:sz w:val="21"/>
                <w:szCs w:val="21"/>
              </w:rPr>
              <w:t>Religion</w:t>
            </w:r>
          </w:p>
        </w:tc>
      </w:tr>
    </w:tbl>
    <w:p w:rsidR="001B0283" w:rsidRDefault="001B0283" w:rsidP="00250EE3"/>
    <w:p w:rsidR="00701541" w:rsidRDefault="00701541" w:rsidP="00250EE3"/>
    <w:p w:rsidR="00701541" w:rsidRPr="00842EDA" w:rsidRDefault="00701541" w:rsidP="00701541">
      <w:pPr>
        <w:rPr>
          <w:rFonts w:asciiTheme="minorHAnsi" w:hAnsiTheme="minorHAnsi"/>
          <w:sz w:val="24"/>
          <w:szCs w:val="24"/>
        </w:rPr>
      </w:pPr>
      <w:r w:rsidRPr="00842EDA">
        <w:rPr>
          <w:b/>
          <w:bCs/>
          <w:sz w:val="24"/>
          <w:szCs w:val="24"/>
          <w:u w:val="single"/>
        </w:rPr>
        <w:t>IEP Research Committee</w:t>
      </w:r>
      <w:r w:rsidRPr="00842EDA">
        <w:rPr>
          <w:b/>
          <w:sz w:val="24"/>
          <w:szCs w:val="24"/>
          <w:u w:val="single"/>
        </w:rPr>
        <w:t xml:space="preserve"> </w:t>
      </w:r>
      <w:r w:rsidRPr="00842EDA">
        <w:rPr>
          <w:rFonts w:asciiTheme="minorHAnsi" w:hAnsiTheme="minorHAnsi"/>
          <w:sz w:val="24"/>
          <w:szCs w:val="24"/>
        </w:rPr>
        <w:br/>
      </w:r>
    </w:p>
    <w:p w:rsidR="00701541" w:rsidRPr="00701541" w:rsidRDefault="00701541" w:rsidP="00701541">
      <w:pPr>
        <w:pStyle w:val="ListParagraph"/>
        <w:numPr>
          <w:ilvl w:val="0"/>
          <w:numId w:val="7"/>
        </w:numPr>
        <w:rPr>
          <w:rFonts w:ascii="Calibri" w:hAnsi="Calibri"/>
        </w:rPr>
      </w:pPr>
      <w:r w:rsidRPr="00701541">
        <w:t xml:space="preserve">Professor </w:t>
      </w:r>
      <w:proofErr w:type="spellStart"/>
      <w:r w:rsidRPr="00701541">
        <w:t>Jurgen</w:t>
      </w:r>
      <w:proofErr w:type="spellEnd"/>
      <w:r w:rsidRPr="00701541">
        <w:t xml:space="preserve"> </w:t>
      </w:r>
      <w:proofErr w:type="spellStart"/>
      <w:r w:rsidRPr="00701541">
        <w:t>Brauer</w:t>
      </w:r>
      <w:proofErr w:type="spellEnd"/>
      <w:r>
        <w:t xml:space="preserve">, Professor of Economics at Georgia Regents University’s James M. Hull College of Business; </w:t>
      </w:r>
    </w:p>
    <w:p w:rsidR="00701541" w:rsidRDefault="00701541" w:rsidP="00701541">
      <w:pPr>
        <w:pStyle w:val="ListParagraph"/>
        <w:numPr>
          <w:ilvl w:val="0"/>
          <w:numId w:val="7"/>
        </w:numPr>
      </w:pPr>
      <w:r w:rsidRPr="00701541">
        <w:t>Professor Kevin P Clements</w:t>
      </w:r>
      <w:r>
        <w:t xml:space="preserve">, Foundation Chair of Peace and Conflict Studies and Director of the New Zealand Centre for Peace and Conflict Studies at the University of Otago, Dunedin New Zealand and Secretary General of the International Peace Research Association; </w:t>
      </w:r>
    </w:p>
    <w:p w:rsidR="00701541" w:rsidRDefault="00701541" w:rsidP="00701541">
      <w:pPr>
        <w:pStyle w:val="ListParagraph"/>
        <w:numPr>
          <w:ilvl w:val="0"/>
          <w:numId w:val="7"/>
        </w:numPr>
      </w:pPr>
      <w:r w:rsidRPr="00701541">
        <w:t>Associate Professor Benjamin Goldsmith</w:t>
      </w:r>
      <w:r>
        <w:t xml:space="preserve">, Associate Professor in the Department of Government and International Relations at the University of Sydney; </w:t>
      </w:r>
    </w:p>
    <w:p w:rsidR="00701541" w:rsidRDefault="00701541" w:rsidP="00701541">
      <w:pPr>
        <w:pStyle w:val="ListParagraph"/>
        <w:numPr>
          <w:ilvl w:val="0"/>
          <w:numId w:val="7"/>
        </w:numPr>
      </w:pPr>
      <w:r>
        <w:t xml:space="preserve">Professor Jennifer </w:t>
      </w:r>
      <w:proofErr w:type="spellStart"/>
      <w:r>
        <w:t>Oetzel</w:t>
      </w:r>
      <w:proofErr w:type="spellEnd"/>
      <w:r>
        <w:t xml:space="preserve">, Associate Professor of International Business, </w:t>
      </w:r>
      <w:proofErr w:type="spellStart"/>
      <w:r>
        <w:t>Kogod</w:t>
      </w:r>
      <w:proofErr w:type="spellEnd"/>
      <w:r>
        <w:t xml:space="preserve"> School of Business</w:t>
      </w:r>
    </w:p>
    <w:p w:rsidR="00701541" w:rsidRDefault="00701541" w:rsidP="00701541">
      <w:pPr>
        <w:pStyle w:val="ListParagraph"/>
        <w:numPr>
          <w:ilvl w:val="0"/>
          <w:numId w:val="7"/>
        </w:numPr>
      </w:pPr>
      <w:r>
        <w:t>Francesco Mancini, Senior Director of Research, International Peace Institute</w:t>
      </w:r>
    </w:p>
    <w:p w:rsidR="00701541" w:rsidRDefault="00701541" w:rsidP="00701541">
      <w:pPr>
        <w:rPr>
          <w:rFonts w:asciiTheme="minorHAnsi" w:hAnsiTheme="minorHAnsi"/>
        </w:rPr>
      </w:pPr>
      <w:r w:rsidRPr="003D18FB">
        <w:rPr>
          <w:b/>
          <w:bCs/>
          <w:sz w:val="24"/>
          <w:szCs w:val="24"/>
          <w:u w:val="single"/>
        </w:rPr>
        <w:t>IEP’s International Advisory Council Members</w:t>
      </w:r>
      <w:r>
        <w:rPr>
          <w:rFonts w:asciiTheme="minorHAnsi" w:hAnsiTheme="minorHAnsi"/>
        </w:rPr>
        <w:br/>
      </w:r>
    </w:p>
    <w:p w:rsidR="00701541" w:rsidRDefault="00701541" w:rsidP="00701541">
      <w:pPr>
        <w:pStyle w:val="ListParagraph"/>
        <w:numPr>
          <w:ilvl w:val="0"/>
          <w:numId w:val="7"/>
        </w:numPr>
      </w:pPr>
      <w:r>
        <w:t xml:space="preserve">Dr Sabina </w:t>
      </w:r>
      <w:proofErr w:type="spellStart"/>
      <w:r>
        <w:t>Alkire</w:t>
      </w:r>
      <w:proofErr w:type="spellEnd"/>
      <w:r>
        <w:t>, Director, Oxford Poverty and Human Development Initiative</w:t>
      </w:r>
    </w:p>
    <w:p w:rsidR="00701541" w:rsidRDefault="00701541" w:rsidP="00701541">
      <w:pPr>
        <w:pStyle w:val="ListParagraph"/>
        <w:numPr>
          <w:ilvl w:val="0"/>
          <w:numId w:val="7"/>
        </w:numPr>
      </w:pPr>
      <w:proofErr w:type="spellStart"/>
      <w:r>
        <w:t>Rt</w:t>
      </w:r>
      <w:proofErr w:type="spellEnd"/>
      <w:r>
        <w:t xml:space="preserve"> Hon Lord Brown of </w:t>
      </w:r>
      <w:proofErr w:type="spellStart"/>
      <w:r>
        <w:t>Ladyton</w:t>
      </w:r>
      <w:proofErr w:type="spellEnd"/>
      <w:r>
        <w:t>, Chair of the European Leadership Network and Former UK Secretary of State for Defence &amp; Scotland</w:t>
      </w:r>
    </w:p>
    <w:p w:rsidR="00701541" w:rsidRDefault="00701541" w:rsidP="00701541">
      <w:pPr>
        <w:pStyle w:val="ListParagraph"/>
        <w:numPr>
          <w:ilvl w:val="0"/>
          <w:numId w:val="7"/>
        </w:numPr>
      </w:pPr>
      <w:r>
        <w:t xml:space="preserve">Prof. </w:t>
      </w:r>
      <w:proofErr w:type="spellStart"/>
      <w:r>
        <w:t>Tilman</w:t>
      </w:r>
      <w:proofErr w:type="spellEnd"/>
      <w:r>
        <w:t xml:space="preserve"> </w:t>
      </w:r>
      <w:proofErr w:type="spellStart"/>
      <w:r>
        <w:t>Bruck</w:t>
      </w:r>
      <w:proofErr w:type="spellEnd"/>
      <w:r>
        <w:t xml:space="preserve">, Distinguished Senior Fellow, Stockholm International Peace Research Institute </w:t>
      </w:r>
    </w:p>
    <w:p w:rsidR="00701541" w:rsidRDefault="00701541" w:rsidP="00701541">
      <w:pPr>
        <w:pStyle w:val="ListParagraph"/>
        <w:numPr>
          <w:ilvl w:val="0"/>
          <w:numId w:val="7"/>
        </w:numPr>
      </w:pPr>
      <w:r>
        <w:t xml:space="preserve">Maria </w:t>
      </w:r>
      <w:proofErr w:type="spellStart"/>
      <w:r>
        <w:t>Cattaui</w:t>
      </w:r>
      <w:proofErr w:type="spellEnd"/>
      <w:r>
        <w:t xml:space="preserve">, Former Secretary-General of the International Chamber of Commerce; </w:t>
      </w:r>
    </w:p>
    <w:p w:rsidR="00701541" w:rsidRDefault="00701541" w:rsidP="00701541">
      <w:pPr>
        <w:pStyle w:val="ListParagraph"/>
        <w:numPr>
          <w:ilvl w:val="0"/>
          <w:numId w:val="7"/>
        </w:numPr>
      </w:pPr>
      <w:r>
        <w:lastRenderedPageBreak/>
        <w:t xml:space="preserve">Dr </w:t>
      </w:r>
      <w:proofErr w:type="spellStart"/>
      <w:r>
        <w:t>Scilla</w:t>
      </w:r>
      <w:proofErr w:type="spellEnd"/>
      <w:r>
        <w:t xml:space="preserve"> </w:t>
      </w:r>
      <w:proofErr w:type="spellStart"/>
      <w:r>
        <w:t>Elworthy</w:t>
      </w:r>
      <w:proofErr w:type="spellEnd"/>
      <w:r>
        <w:t>, Founder, Peace Direct and Oxford Research Group</w:t>
      </w:r>
    </w:p>
    <w:p w:rsidR="00701541" w:rsidRDefault="00701541" w:rsidP="00701541">
      <w:pPr>
        <w:pStyle w:val="ListParagraph"/>
        <w:numPr>
          <w:ilvl w:val="0"/>
          <w:numId w:val="7"/>
        </w:numPr>
      </w:pPr>
      <w:r>
        <w:t>The Hon Gareth Evans AO QC, Chancellor, Australian National University and former Australian Minister for Foreign Affairs</w:t>
      </w:r>
    </w:p>
    <w:p w:rsidR="00701541" w:rsidRDefault="00701541" w:rsidP="00701541">
      <w:pPr>
        <w:pStyle w:val="ListParagraph"/>
        <w:numPr>
          <w:ilvl w:val="0"/>
          <w:numId w:val="7"/>
        </w:numPr>
      </w:pPr>
      <w:r>
        <w:t>Prof James Galbraith, Lloyd M. Bentsen, Jr. Chair in Government/Business Relations LBJ School of Public Affairs, The University of Texas at Austin</w:t>
      </w:r>
    </w:p>
    <w:p w:rsidR="00701541" w:rsidRDefault="00701541" w:rsidP="00701541">
      <w:pPr>
        <w:pStyle w:val="ListParagraph"/>
        <w:numPr>
          <w:ilvl w:val="0"/>
          <w:numId w:val="7"/>
        </w:numPr>
      </w:pPr>
      <w:r>
        <w:t>Jeremy Gilley, Founder, Peace One Day</w:t>
      </w:r>
    </w:p>
    <w:p w:rsidR="00701541" w:rsidRDefault="00701541" w:rsidP="00701541">
      <w:pPr>
        <w:pStyle w:val="ListParagraph"/>
        <w:numPr>
          <w:ilvl w:val="0"/>
          <w:numId w:val="7"/>
        </w:numPr>
      </w:pPr>
      <w:r>
        <w:t>Kerry Kennedy, President, Robert F. Kennedy Center for Justice and Human Rights</w:t>
      </w:r>
      <w:r>
        <w:tab/>
      </w:r>
    </w:p>
    <w:p w:rsidR="00701541" w:rsidRDefault="00701541" w:rsidP="00701541">
      <w:pPr>
        <w:pStyle w:val="ListParagraph"/>
        <w:numPr>
          <w:ilvl w:val="0"/>
          <w:numId w:val="7"/>
        </w:numPr>
      </w:pPr>
      <w:r>
        <w:t xml:space="preserve">Ian </w:t>
      </w:r>
      <w:proofErr w:type="spellStart"/>
      <w:r>
        <w:t>Kortlang</w:t>
      </w:r>
      <w:proofErr w:type="spellEnd"/>
      <w:r>
        <w:t>, Chief Executive, 360m-Media Insight</w:t>
      </w:r>
      <w:r>
        <w:tab/>
      </w:r>
    </w:p>
    <w:p w:rsidR="00701541" w:rsidRDefault="00701541" w:rsidP="00701541">
      <w:pPr>
        <w:pStyle w:val="ListParagraph"/>
        <w:numPr>
          <w:ilvl w:val="0"/>
          <w:numId w:val="7"/>
        </w:numPr>
      </w:pPr>
      <w:r>
        <w:t xml:space="preserve">Prof John </w:t>
      </w:r>
      <w:proofErr w:type="spellStart"/>
      <w:r>
        <w:t>Tepper</w:t>
      </w:r>
      <w:proofErr w:type="spellEnd"/>
      <w:r>
        <w:t xml:space="preserve"> Marlin, Principal at </w:t>
      </w:r>
      <w:proofErr w:type="spellStart"/>
      <w:r>
        <w:t>CityEconomist</w:t>
      </w:r>
      <w:proofErr w:type="spellEnd"/>
      <w:r>
        <w:t>, and Adjunct Professor, Stern School of Business</w:t>
      </w:r>
      <w:r>
        <w:tab/>
      </w:r>
    </w:p>
    <w:p w:rsidR="00701541" w:rsidRDefault="00701541" w:rsidP="00701541">
      <w:pPr>
        <w:pStyle w:val="ListParagraph"/>
        <w:numPr>
          <w:ilvl w:val="0"/>
          <w:numId w:val="7"/>
        </w:numPr>
      </w:pPr>
      <w:r>
        <w:t>Sir Mark Moody-Stuart, Chairman, Foundation for the UN Global Compact, and former Chairman of Anglo American plc.</w:t>
      </w:r>
      <w:r>
        <w:tab/>
      </w:r>
    </w:p>
    <w:p w:rsidR="00701541" w:rsidRDefault="00701541" w:rsidP="00701541">
      <w:pPr>
        <w:pStyle w:val="ListParagraph"/>
        <w:numPr>
          <w:ilvl w:val="0"/>
          <w:numId w:val="7"/>
        </w:numPr>
      </w:pPr>
      <w:r>
        <w:t>Dr Daniel Shapiro, Director, Harvard International Negotiation Program</w:t>
      </w:r>
      <w:r>
        <w:tab/>
      </w:r>
    </w:p>
    <w:p w:rsidR="00701541" w:rsidRDefault="00701541" w:rsidP="00701541">
      <w:pPr>
        <w:pStyle w:val="ListParagraph"/>
        <w:numPr>
          <w:ilvl w:val="0"/>
          <w:numId w:val="7"/>
        </w:numPr>
      </w:pPr>
      <w:r>
        <w:t>Dr David Stevens, Global Lead: Project Optimisation, Parsons Brinckerhoff, Global Mining</w:t>
      </w:r>
    </w:p>
    <w:p w:rsidR="00701541" w:rsidRDefault="00701541" w:rsidP="00701541">
      <w:pPr>
        <w:pStyle w:val="ListParagraph"/>
        <w:numPr>
          <w:ilvl w:val="0"/>
          <w:numId w:val="7"/>
        </w:numPr>
      </w:pPr>
      <w:r>
        <w:t xml:space="preserve">Dr William </w:t>
      </w:r>
      <w:proofErr w:type="spellStart"/>
      <w:r>
        <w:t>Vendley</w:t>
      </w:r>
      <w:proofErr w:type="spellEnd"/>
      <w:r>
        <w:t>, Secretary-General, Religions for Peace</w:t>
      </w:r>
    </w:p>
    <w:p w:rsidR="00701541" w:rsidRDefault="00701541" w:rsidP="00701541">
      <w:pPr>
        <w:pStyle w:val="Default"/>
        <w:rPr>
          <w:rFonts w:asciiTheme="minorHAnsi" w:hAnsiTheme="minorHAnsi"/>
          <w:color w:val="auto"/>
          <w:sz w:val="22"/>
          <w:szCs w:val="22"/>
        </w:rPr>
      </w:pPr>
    </w:p>
    <w:p w:rsidR="00701541" w:rsidRDefault="00701541" w:rsidP="00701541">
      <w:pPr>
        <w:rPr>
          <w:b/>
          <w:bCs/>
          <w:sz w:val="24"/>
          <w:szCs w:val="24"/>
          <w:u w:val="single"/>
        </w:rPr>
      </w:pPr>
      <w:r w:rsidRPr="003D18FB">
        <w:rPr>
          <w:b/>
          <w:bCs/>
          <w:sz w:val="24"/>
          <w:szCs w:val="24"/>
          <w:u w:val="single"/>
        </w:rPr>
        <w:t xml:space="preserve">Global Peace Index (GPI) Expert Panel </w:t>
      </w:r>
    </w:p>
    <w:p w:rsidR="003D18FB" w:rsidRPr="003D18FB" w:rsidRDefault="003D18FB" w:rsidP="00701541">
      <w:pPr>
        <w:rPr>
          <w:b/>
          <w:bCs/>
          <w:sz w:val="24"/>
          <w:szCs w:val="24"/>
          <w:u w:val="single"/>
        </w:rPr>
      </w:pPr>
    </w:p>
    <w:p w:rsidR="00701541" w:rsidRPr="00701541" w:rsidRDefault="00701541" w:rsidP="00701541">
      <w:pPr>
        <w:pStyle w:val="ListParagraph"/>
        <w:numPr>
          <w:ilvl w:val="0"/>
          <w:numId w:val="7"/>
        </w:numPr>
      </w:pPr>
      <w:r w:rsidRPr="00701541">
        <w:t xml:space="preserve">Professor Kevin P. Clements, Chairperson, </w:t>
      </w:r>
      <w:r>
        <w:t xml:space="preserve">Foundation Chair of Peace and Conflict Studies and Director, National Centre for Peace and Conflict Studies University of Otago, New Zealand </w:t>
      </w:r>
    </w:p>
    <w:p w:rsidR="00701541" w:rsidRDefault="00701541" w:rsidP="00701541">
      <w:pPr>
        <w:pStyle w:val="ListParagraph"/>
        <w:numPr>
          <w:ilvl w:val="0"/>
          <w:numId w:val="7"/>
        </w:numPr>
      </w:pPr>
      <w:r>
        <w:t xml:space="preserve">Dr Sabina </w:t>
      </w:r>
      <w:proofErr w:type="spellStart"/>
      <w:r>
        <w:t>Alkire</w:t>
      </w:r>
      <w:proofErr w:type="spellEnd"/>
      <w:r>
        <w:t xml:space="preserve">, Director, oxford Poverty &amp; Human Development Initiative (OPHI), university of Oxford, United Kingdom  </w:t>
      </w:r>
    </w:p>
    <w:p w:rsidR="00701541" w:rsidRDefault="00701541" w:rsidP="00701541">
      <w:pPr>
        <w:pStyle w:val="ListParagraph"/>
        <w:numPr>
          <w:ilvl w:val="0"/>
          <w:numId w:val="7"/>
        </w:numPr>
      </w:pPr>
      <w:r w:rsidRPr="00701541">
        <w:t xml:space="preserve">Dr Ian Anthony </w:t>
      </w:r>
      <w:r>
        <w:t xml:space="preserve">Research Coordinator and Leader of the Arms Control and Non-proliferation Programme, Stockholm International Peace Research Institute (SIPRI), Sweden </w:t>
      </w:r>
    </w:p>
    <w:p w:rsidR="00701541" w:rsidRDefault="00701541" w:rsidP="00701541">
      <w:pPr>
        <w:pStyle w:val="ListParagraph"/>
        <w:numPr>
          <w:ilvl w:val="0"/>
          <w:numId w:val="7"/>
        </w:numPr>
      </w:pPr>
      <w:r w:rsidRPr="00701541">
        <w:t xml:space="preserve">Mr Vasu </w:t>
      </w:r>
      <w:proofErr w:type="spellStart"/>
      <w:r w:rsidRPr="00701541">
        <w:t>Gounden</w:t>
      </w:r>
      <w:proofErr w:type="spellEnd"/>
      <w:r w:rsidRPr="00701541">
        <w:t xml:space="preserve">, Founder and Executive Director, African Centre for the Constructive Resolution of </w:t>
      </w:r>
      <w:proofErr w:type="spellStart"/>
      <w:r w:rsidRPr="00701541">
        <w:t>Dsiputes</w:t>
      </w:r>
      <w:proofErr w:type="spellEnd"/>
      <w:r w:rsidRPr="00701541">
        <w:t xml:space="preserve"> (ACCORD), Durban</w:t>
      </w:r>
    </w:p>
    <w:p w:rsidR="00701541" w:rsidRDefault="00701541" w:rsidP="00701541">
      <w:pPr>
        <w:pStyle w:val="ListParagraph"/>
        <w:numPr>
          <w:ilvl w:val="0"/>
          <w:numId w:val="7"/>
        </w:numPr>
      </w:pPr>
      <w:r w:rsidRPr="00701541">
        <w:t xml:space="preserve">Mr Nick </w:t>
      </w:r>
      <w:proofErr w:type="spellStart"/>
      <w:r w:rsidRPr="00701541">
        <w:t>Grono</w:t>
      </w:r>
      <w:proofErr w:type="spellEnd"/>
      <w:r w:rsidRPr="00701541">
        <w:t xml:space="preserve">, CEO the Freedom Fund, London, United Kingdom </w:t>
      </w:r>
    </w:p>
    <w:p w:rsidR="00701541" w:rsidRDefault="00701541" w:rsidP="00701541">
      <w:pPr>
        <w:pStyle w:val="ListParagraph"/>
        <w:numPr>
          <w:ilvl w:val="0"/>
          <w:numId w:val="7"/>
        </w:numPr>
      </w:pPr>
      <w:r w:rsidRPr="00701541">
        <w:t xml:space="preserve">Dr Manuela Mesa </w:t>
      </w:r>
      <w:r>
        <w:t>Director, Center for Education and Peace Research (CEIPAZ) and President, Spanish Association for Peace Research (AIPAZ), Spain</w:t>
      </w:r>
    </w:p>
    <w:p w:rsidR="00701541" w:rsidRDefault="00701541" w:rsidP="00701541">
      <w:pPr>
        <w:pStyle w:val="ListParagraph"/>
        <w:numPr>
          <w:ilvl w:val="0"/>
          <w:numId w:val="7"/>
        </w:numPr>
      </w:pPr>
      <w:r w:rsidRPr="00701541">
        <w:t xml:space="preserve">Dr Ekaterina </w:t>
      </w:r>
      <w:proofErr w:type="spellStart"/>
      <w:r w:rsidRPr="00701541">
        <w:t>Stepanova</w:t>
      </w:r>
      <w:proofErr w:type="spellEnd"/>
      <w:r w:rsidRPr="00701541">
        <w:t xml:space="preserve"> </w:t>
      </w:r>
      <w:r>
        <w:t xml:space="preserve">Head, Unit on Peace and Conflict Studies, Institute of the World Economy &amp; International Relations (IMEMO) Russian Academy of Sciences, Russian Federation </w:t>
      </w:r>
    </w:p>
    <w:p w:rsidR="003C725C" w:rsidRPr="003C725C" w:rsidRDefault="003C725C">
      <w:pPr>
        <w:rPr>
          <w:b/>
          <w:bCs/>
          <w:sz w:val="24"/>
          <w:szCs w:val="24"/>
          <w:u w:val="single"/>
        </w:rPr>
      </w:pPr>
    </w:p>
    <w:sectPr w:rsidR="003C725C" w:rsidRPr="003C7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D91"/>
    <w:multiLevelType w:val="hybridMultilevel"/>
    <w:tmpl w:val="1332DF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52453F"/>
    <w:multiLevelType w:val="hybridMultilevel"/>
    <w:tmpl w:val="7272F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AC37D0"/>
    <w:multiLevelType w:val="hybridMultilevel"/>
    <w:tmpl w:val="5966F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6B5A85"/>
    <w:multiLevelType w:val="hybridMultilevel"/>
    <w:tmpl w:val="2FB813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FD3363"/>
    <w:multiLevelType w:val="hybridMultilevel"/>
    <w:tmpl w:val="203C0EC4"/>
    <w:lvl w:ilvl="0" w:tplc="D362E00C">
      <w:start w:val="1"/>
      <w:numFmt w:val="bullet"/>
      <w:lvlText w:val="•"/>
      <w:lvlJc w:val="left"/>
      <w:pPr>
        <w:tabs>
          <w:tab w:val="num" w:pos="720"/>
        </w:tabs>
        <w:ind w:left="720" w:hanging="360"/>
      </w:pPr>
      <w:rPr>
        <w:rFonts w:ascii="Arial" w:hAnsi="Arial" w:hint="default"/>
      </w:rPr>
    </w:lvl>
    <w:lvl w:ilvl="1" w:tplc="E93E7ED4" w:tentative="1">
      <w:start w:val="1"/>
      <w:numFmt w:val="bullet"/>
      <w:lvlText w:val="•"/>
      <w:lvlJc w:val="left"/>
      <w:pPr>
        <w:tabs>
          <w:tab w:val="num" w:pos="1440"/>
        </w:tabs>
        <w:ind w:left="1440" w:hanging="360"/>
      </w:pPr>
      <w:rPr>
        <w:rFonts w:ascii="Arial" w:hAnsi="Arial" w:hint="default"/>
      </w:rPr>
    </w:lvl>
    <w:lvl w:ilvl="2" w:tplc="03229C30" w:tentative="1">
      <w:start w:val="1"/>
      <w:numFmt w:val="bullet"/>
      <w:lvlText w:val="•"/>
      <w:lvlJc w:val="left"/>
      <w:pPr>
        <w:tabs>
          <w:tab w:val="num" w:pos="2160"/>
        </w:tabs>
        <w:ind w:left="2160" w:hanging="360"/>
      </w:pPr>
      <w:rPr>
        <w:rFonts w:ascii="Arial" w:hAnsi="Arial" w:hint="default"/>
      </w:rPr>
    </w:lvl>
    <w:lvl w:ilvl="3" w:tplc="7136BF04" w:tentative="1">
      <w:start w:val="1"/>
      <w:numFmt w:val="bullet"/>
      <w:lvlText w:val="•"/>
      <w:lvlJc w:val="left"/>
      <w:pPr>
        <w:tabs>
          <w:tab w:val="num" w:pos="2880"/>
        </w:tabs>
        <w:ind w:left="2880" w:hanging="360"/>
      </w:pPr>
      <w:rPr>
        <w:rFonts w:ascii="Arial" w:hAnsi="Arial" w:hint="default"/>
      </w:rPr>
    </w:lvl>
    <w:lvl w:ilvl="4" w:tplc="7CC656C6" w:tentative="1">
      <w:start w:val="1"/>
      <w:numFmt w:val="bullet"/>
      <w:lvlText w:val="•"/>
      <w:lvlJc w:val="left"/>
      <w:pPr>
        <w:tabs>
          <w:tab w:val="num" w:pos="3600"/>
        </w:tabs>
        <w:ind w:left="3600" w:hanging="360"/>
      </w:pPr>
      <w:rPr>
        <w:rFonts w:ascii="Arial" w:hAnsi="Arial" w:hint="default"/>
      </w:rPr>
    </w:lvl>
    <w:lvl w:ilvl="5" w:tplc="53E6FD10" w:tentative="1">
      <w:start w:val="1"/>
      <w:numFmt w:val="bullet"/>
      <w:lvlText w:val="•"/>
      <w:lvlJc w:val="left"/>
      <w:pPr>
        <w:tabs>
          <w:tab w:val="num" w:pos="4320"/>
        </w:tabs>
        <w:ind w:left="4320" w:hanging="360"/>
      </w:pPr>
      <w:rPr>
        <w:rFonts w:ascii="Arial" w:hAnsi="Arial" w:hint="default"/>
      </w:rPr>
    </w:lvl>
    <w:lvl w:ilvl="6" w:tplc="1A3258A8" w:tentative="1">
      <w:start w:val="1"/>
      <w:numFmt w:val="bullet"/>
      <w:lvlText w:val="•"/>
      <w:lvlJc w:val="left"/>
      <w:pPr>
        <w:tabs>
          <w:tab w:val="num" w:pos="5040"/>
        </w:tabs>
        <w:ind w:left="5040" w:hanging="360"/>
      </w:pPr>
      <w:rPr>
        <w:rFonts w:ascii="Arial" w:hAnsi="Arial" w:hint="default"/>
      </w:rPr>
    </w:lvl>
    <w:lvl w:ilvl="7" w:tplc="AA96CB40" w:tentative="1">
      <w:start w:val="1"/>
      <w:numFmt w:val="bullet"/>
      <w:lvlText w:val="•"/>
      <w:lvlJc w:val="left"/>
      <w:pPr>
        <w:tabs>
          <w:tab w:val="num" w:pos="5760"/>
        </w:tabs>
        <w:ind w:left="5760" w:hanging="360"/>
      </w:pPr>
      <w:rPr>
        <w:rFonts w:ascii="Arial" w:hAnsi="Arial" w:hint="default"/>
      </w:rPr>
    </w:lvl>
    <w:lvl w:ilvl="8" w:tplc="CF2C621C" w:tentative="1">
      <w:start w:val="1"/>
      <w:numFmt w:val="bullet"/>
      <w:lvlText w:val="•"/>
      <w:lvlJc w:val="left"/>
      <w:pPr>
        <w:tabs>
          <w:tab w:val="num" w:pos="6480"/>
        </w:tabs>
        <w:ind w:left="6480" w:hanging="360"/>
      </w:pPr>
      <w:rPr>
        <w:rFonts w:ascii="Arial" w:hAnsi="Arial" w:hint="default"/>
      </w:rPr>
    </w:lvl>
  </w:abstractNum>
  <w:abstractNum w:abstractNumId="5">
    <w:nsid w:val="31361706"/>
    <w:multiLevelType w:val="hybridMultilevel"/>
    <w:tmpl w:val="F03C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9D0BFA"/>
    <w:multiLevelType w:val="hybridMultilevel"/>
    <w:tmpl w:val="566CC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50C0E2D"/>
    <w:multiLevelType w:val="hybridMultilevel"/>
    <w:tmpl w:val="A588D558"/>
    <w:lvl w:ilvl="0" w:tplc="08090005">
      <w:start w:val="1"/>
      <w:numFmt w:val="bullet"/>
      <w:pStyle w:val="Bullet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62C1857"/>
    <w:multiLevelType w:val="hybridMultilevel"/>
    <w:tmpl w:val="D8C45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CD42DF"/>
    <w:multiLevelType w:val="hybridMultilevel"/>
    <w:tmpl w:val="4920DC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7"/>
  </w:num>
  <w:num w:numId="6">
    <w:abstractNumId w:val="9"/>
  </w:num>
  <w:num w:numId="7">
    <w:abstractNumId w:val="8"/>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E3"/>
    <w:rsid w:val="00051942"/>
    <w:rsid w:val="000613C6"/>
    <w:rsid w:val="001B0283"/>
    <w:rsid w:val="00250EE3"/>
    <w:rsid w:val="00301437"/>
    <w:rsid w:val="003A7699"/>
    <w:rsid w:val="003C725C"/>
    <w:rsid w:val="003D18FB"/>
    <w:rsid w:val="0055029D"/>
    <w:rsid w:val="00577D9D"/>
    <w:rsid w:val="006D57AC"/>
    <w:rsid w:val="00700ED5"/>
    <w:rsid w:val="00701541"/>
    <w:rsid w:val="0077620E"/>
    <w:rsid w:val="00785948"/>
    <w:rsid w:val="008428FD"/>
    <w:rsid w:val="00842EDA"/>
    <w:rsid w:val="008F76A5"/>
    <w:rsid w:val="009C2C24"/>
    <w:rsid w:val="009F04A3"/>
    <w:rsid w:val="00B42BB1"/>
    <w:rsid w:val="00C27F92"/>
    <w:rsid w:val="00C658BB"/>
    <w:rsid w:val="00D916B2"/>
    <w:rsid w:val="00DB296D"/>
    <w:rsid w:val="00DC04D8"/>
    <w:rsid w:val="00E6728F"/>
    <w:rsid w:val="00F11733"/>
    <w:rsid w:val="00F15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EE3"/>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C658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658BB"/>
    <w:pPr>
      <w:spacing w:before="100" w:beforeAutospacing="1" w:after="100" w:afterAutospacing="1"/>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EE3"/>
    <w:rPr>
      <w:color w:val="0563C1"/>
      <w:u w:val="single"/>
    </w:rPr>
  </w:style>
  <w:style w:type="paragraph" w:styleId="NormalWeb">
    <w:name w:val="Normal (Web)"/>
    <w:basedOn w:val="Normal"/>
    <w:uiPriority w:val="99"/>
    <w:semiHidden/>
    <w:unhideWhenUsed/>
    <w:rsid w:val="00250EE3"/>
    <w:pPr>
      <w:spacing w:before="100" w:beforeAutospacing="1" w:after="100" w:afterAutospacing="1"/>
    </w:pPr>
    <w:rPr>
      <w:rFonts w:ascii="Times New Roman" w:hAnsi="Times New Roman"/>
      <w:sz w:val="24"/>
      <w:szCs w:val="24"/>
      <w:lang w:eastAsia="en-AU"/>
    </w:rPr>
  </w:style>
  <w:style w:type="paragraph" w:styleId="NoSpacing">
    <w:name w:val="No Spacing"/>
    <w:basedOn w:val="Normal"/>
    <w:uiPriority w:val="1"/>
    <w:qFormat/>
    <w:rsid w:val="00250EE3"/>
    <w:rPr>
      <w:rFonts w:ascii="Times New Roman" w:hAnsi="Times New Roman"/>
      <w:lang w:eastAsia="en-AU"/>
    </w:rPr>
  </w:style>
  <w:style w:type="character" w:customStyle="1" w:styleId="Heading3Char">
    <w:name w:val="Heading 3 Char"/>
    <w:basedOn w:val="DefaultParagraphFont"/>
    <w:link w:val="Heading3"/>
    <w:uiPriority w:val="9"/>
    <w:rsid w:val="00C658BB"/>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C658BB"/>
    <w:rPr>
      <w:b/>
      <w:bCs/>
    </w:rPr>
  </w:style>
  <w:style w:type="character" w:customStyle="1" w:styleId="Heading2Char">
    <w:name w:val="Heading 2 Char"/>
    <w:basedOn w:val="DefaultParagraphFont"/>
    <w:link w:val="Heading2"/>
    <w:uiPriority w:val="9"/>
    <w:semiHidden/>
    <w:rsid w:val="00C658B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9C2C24"/>
    <w:pPr>
      <w:jc w:val="both"/>
    </w:pPr>
    <w:rPr>
      <w:rFonts w:ascii="Century Gothic" w:hAnsi="Century Gothic" w:cs="Arial"/>
      <w:sz w:val="20"/>
      <w:szCs w:val="20"/>
      <w:lang w:val="en-US"/>
    </w:rPr>
  </w:style>
  <w:style w:type="character" w:customStyle="1" w:styleId="BodyTextChar">
    <w:name w:val="Body Text Char"/>
    <w:basedOn w:val="DefaultParagraphFont"/>
    <w:link w:val="BodyText"/>
    <w:rsid w:val="009C2C24"/>
    <w:rPr>
      <w:rFonts w:ascii="Century Gothic" w:hAnsi="Century Gothic" w:cs="Arial"/>
      <w:sz w:val="20"/>
      <w:szCs w:val="20"/>
      <w:lang w:val="en-US"/>
    </w:rPr>
  </w:style>
  <w:style w:type="paragraph" w:styleId="ListParagraph">
    <w:name w:val="List Paragraph"/>
    <w:basedOn w:val="Normal"/>
    <w:uiPriority w:val="34"/>
    <w:qFormat/>
    <w:rsid w:val="00700ED5"/>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700E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Char">
    <w:name w:val="Bullet List Char"/>
    <w:basedOn w:val="DefaultParagraphFont"/>
    <w:link w:val="BulletList"/>
    <w:locked/>
    <w:rsid w:val="00701541"/>
    <w:rPr>
      <w:rFonts w:ascii="Times New Roman" w:eastAsiaTheme="minorEastAsia" w:hAnsi="Times New Roman" w:cstheme="minorHAnsi"/>
      <w:szCs w:val="20"/>
    </w:rPr>
  </w:style>
  <w:style w:type="paragraph" w:customStyle="1" w:styleId="BulletList">
    <w:name w:val="Bullet List"/>
    <w:basedOn w:val="ListParagraph"/>
    <w:link w:val="BulletListChar"/>
    <w:qFormat/>
    <w:rsid w:val="00701541"/>
    <w:pPr>
      <w:widowControl w:val="0"/>
      <w:numPr>
        <w:numId w:val="5"/>
      </w:numPr>
      <w:autoSpaceDE w:val="0"/>
      <w:autoSpaceDN w:val="0"/>
      <w:adjustRightInd w:val="0"/>
      <w:spacing w:after="120"/>
    </w:pPr>
    <w:rPr>
      <w:rFonts w:ascii="Times New Roman" w:eastAsiaTheme="minorEastAsia" w:hAnsi="Times New Roman" w:cstheme="minorHAnsi"/>
      <w:szCs w:val="20"/>
    </w:rPr>
  </w:style>
  <w:style w:type="paragraph" w:customStyle="1" w:styleId="Default">
    <w:name w:val="Default"/>
    <w:rsid w:val="00701541"/>
    <w:pPr>
      <w:autoSpaceDE w:val="0"/>
      <w:autoSpaceDN w:val="0"/>
      <w:adjustRightInd w:val="0"/>
      <w:spacing w:after="0" w:line="240" w:lineRule="auto"/>
    </w:pPr>
    <w:rPr>
      <w:rFonts w:ascii="Cambria" w:eastAsia="Calibri" w:hAnsi="Cambria" w:cs="Cambria"/>
      <w:color w:val="000000"/>
      <w:sz w:val="24"/>
      <w:szCs w:val="24"/>
      <w:lang w:val="en-GB"/>
    </w:rPr>
  </w:style>
  <w:style w:type="paragraph" w:styleId="BalloonText">
    <w:name w:val="Balloon Text"/>
    <w:basedOn w:val="Normal"/>
    <w:link w:val="BalloonTextChar"/>
    <w:uiPriority w:val="99"/>
    <w:semiHidden/>
    <w:unhideWhenUsed/>
    <w:rsid w:val="009F0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4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EE3"/>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C658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658BB"/>
    <w:pPr>
      <w:spacing w:before="100" w:beforeAutospacing="1" w:after="100" w:afterAutospacing="1"/>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EE3"/>
    <w:rPr>
      <w:color w:val="0563C1"/>
      <w:u w:val="single"/>
    </w:rPr>
  </w:style>
  <w:style w:type="paragraph" w:styleId="NormalWeb">
    <w:name w:val="Normal (Web)"/>
    <w:basedOn w:val="Normal"/>
    <w:uiPriority w:val="99"/>
    <w:semiHidden/>
    <w:unhideWhenUsed/>
    <w:rsid w:val="00250EE3"/>
    <w:pPr>
      <w:spacing w:before="100" w:beforeAutospacing="1" w:after="100" w:afterAutospacing="1"/>
    </w:pPr>
    <w:rPr>
      <w:rFonts w:ascii="Times New Roman" w:hAnsi="Times New Roman"/>
      <w:sz w:val="24"/>
      <w:szCs w:val="24"/>
      <w:lang w:eastAsia="en-AU"/>
    </w:rPr>
  </w:style>
  <w:style w:type="paragraph" w:styleId="NoSpacing">
    <w:name w:val="No Spacing"/>
    <w:basedOn w:val="Normal"/>
    <w:uiPriority w:val="1"/>
    <w:qFormat/>
    <w:rsid w:val="00250EE3"/>
    <w:rPr>
      <w:rFonts w:ascii="Times New Roman" w:hAnsi="Times New Roman"/>
      <w:lang w:eastAsia="en-AU"/>
    </w:rPr>
  </w:style>
  <w:style w:type="character" w:customStyle="1" w:styleId="Heading3Char">
    <w:name w:val="Heading 3 Char"/>
    <w:basedOn w:val="DefaultParagraphFont"/>
    <w:link w:val="Heading3"/>
    <w:uiPriority w:val="9"/>
    <w:rsid w:val="00C658BB"/>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C658BB"/>
    <w:rPr>
      <w:b/>
      <w:bCs/>
    </w:rPr>
  </w:style>
  <w:style w:type="character" w:customStyle="1" w:styleId="Heading2Char">
    <w:name w:val="Heading 2 Char"/>
    <w:basedOn w:val="DefaultParagraphFont"/>
    <w:link w:val="Heading2"/>
    <w:uiPriority w:val="9"/>
    <w:semiHidden/>
    <w:rsid w:val="00C658B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9C2C24"/>
    <w:pPr>
      <w:jc w:val="both"/>
    </w:pPr>
    <w:rPr>
      <w:rFonts w:ascii="Century Gothic" w:hAnsi="Century Gothic" w:cs="Arial"/>
      <w:sz w:val="20"/>
      <w:szCs w:val="20"/>
      <w:lang w:val="en-US"/>
    </w:rPr>
  </w:style>
  <w:style w:type="character" w:customStyle="1" w:styleId="BodyTextChar">
    <w:name w:val="Body Text Char"/>
    <w:basedOn w:val="DefaultParagraphFont"/>
    <w:link w:val="BodyText"/>
    <w:rsid w:val="009C2C24"/>
    <w:rPr>
      <w:rFonts w:ascii="Century Gothic" w:hAnsi="Century Gothic" w:cs="Arial"/>
      <w:sz w:val="20"/>
      <w:szCs w:val="20"/>
      <w:lang w:val="en-US"/>
    </w:rPr>
  </w:style>
  <w:style w:type="paragraph" w:styleId="ListParagraph">
    <w:name w:val="List Paragraph"/>
    <w:basedOn w:val="Normal"/>
    <w:uiPriority w:val="34"/>
    <w:qFormat/>
    <w:rsid w:val="00700ED5"/>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700E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Char">
    <w:name w:val="Bullet List Char"/>
    <w:basedOn w:val="DefaultParagraphFont"/>
    <w:link w:val="BulletList"/>
    <w:locked/>
    <w:rsid w:val="00701541"/>
    <w:rPr>
      <w:rFonts w:ascii="Times New Roman" w:eastAsiaTheme="minorEastAsia" w:hAnsi="Times New Roman" w:cstheme="minorHAnsi"/>
      <w:szCs w:val="20"/>
    </w:rPr>
  </w:style>
  <w:style w:type="paragraph" w:customStyle="1" w:styleId="BulletList">
    <w:name w:val="Bullet List"/>
    <w:basedOn w:val="ListParagraph"/>
    <w:link w:val="BulletListChar"/>
    <w:qFormat/>
    <w:rsid w:val="00701541"/>
    <w:pPr>
      <w:widowControl w:val="0"/>
      <w:numPr>
        <w:numId w:val="5"/>
      </w:numPr>
      <w:autoSpaceDE w:val="0"/>
      <w:autoSpaceDN w:val="0"/>
      <w:adjustRightInd w:val="0"/>
      <w:spacing w:after="120"/>
    </w:pPr>
    <w:rPr>
      <w:rFonts w:ascii="Times New Roman" w:eastAsiaTheme="minorEastAsia" w:hAnsi="Times New Roman" w:cstheme="minorHAnsi"/>
      <w:szCs w:val="20"/>
    </w:rPr>
  </w:style>
  <w:style w:type="paragraph" w:customStyle="1" w:styleId="Default">
    <w:name w:val="Default"/>
    <w:rsid w:val="00701541"/>
    <w:pPr>
      <w:autoSpaceDE w:val="0"/>
      <w:autoSpaceDN w:val="0"/>
      <w:adjustRightInd w:val="0"/>
      <w:spacing w:after="0" w:line="240" w:lineRule="auto"/>
    </w:pPr>
    <w:rPr>
      <w:rFonts w:ascii="Cambria" w:eastAsia="Calibri" w:hAnsi="Cambria" w:cs="Cambria"/>
      <w:color w:val="000000"/>
      <w:sz w:val="24"/>
      <w:szCs w:val="24"/>
      <w:lang w:val="en-GB"/>
    </w:rPr>
  </w:style>
  <w:style w:type="paragraph" w:styleId="BalloonText">
    <w:name w:val="Balloon Text"/>
    <w:basedOn w:val="Normal"/>
    <w:link w:val="BalloonTextChar"/>
    <w:uiPriority w:val="99"/>
    <w:semiHidden/>
    <w:unhideWhenUsed/>
    <w:rsid w:val="009F0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80772">
      <w:bodyDiv w:val="1"/>
      <w:marLeft w:val="0"/>
      <w:marRight w:val="0"/>
      <w:marTop w:val="0"/>
      <w:marBottom w:val="0"/>
      <w:divBdr>
        <w:top w:val="none" w:sz="0" w:space="0" w:color="auto"/>
        <w:left w:val="none" w:sz="0" w:space="0" w:color="auto"/>
        <w:bottom w:val="none" w:sz="0" w:space="0" w:color="auto"/>
        <w:right w:val="none" w:sz="0" w:space="0" w:color="auto"/>
      </w:divBdr>
      <w:divsChild>
        <w:div w:id="423772364">
          <w:marLeft w:val="547"/>
          <w:marRight w:val="0"/>
          <w:marTop w:val="0"/>
          <w:marBottom w:val="0"/>
          <w:divBdr>
            <w:top w:val="none" w:sz="0" w:space="0" w:color="auto"/>
            <w:left w:val="none" w:sz="0" w:space="0" w:color="auto"/>
            <w:bottom w:val="none" w:sz="0" w:space="0" w:color="auto"/>
            <w:right w:val="none" w:sz="0" w:space="0" w:color="auto"/>
          </w:divBdr>
        </w:div>
        <w:div w:id="861287589">
          <w:marLeft w:val="547"/>
          <w:marRight w:val="0"/>
          <w:marTop w:val="0"/>
          <w:marBottom w:val="0"/>
          <w:divBdr>
            <w:top w:val="none" w:sz="0" w:space="0" w:color="auto"/>
            <w:left w:val="none" w:sz="0" w:space="0" w:color="auto"/>
            <w:bottom w:val="none" w:sz="0" w:space="0" w:color="auto"/>
            <w:right w:val="none" w:sz="0" w:space="0" w:color="auto"/>
          </w:divBdr>
        </w:div>
      </w:divsChild>
    </w:div>
    <w:div w:id="537661807">
      <w:bodyDiv w:val="1"/>
      <w:marLeft w:val="0"/>
      <w:marRight w:val="0"/>
      <w:marTop w:val="0"/>
      <w:marBottom w:val="0"/>
      <w:divBdr>
        <w:top w:val="none" w:sz="0" w:space="0" w:color="auto"/>
        <w:left w:val="none" w:sz="0" w:space="0" w:color="auto"/>
        <w:bottom w:val="none" w:sz="0" w:space="0" w:color="auto"/>
        <w:right w:val="none" w:sz="0" w:space="0" w:color="auto"/>
      </w:divBdr>
      <w:divsChild>
        <w:div w:id="154104696">
          <w:marLeft w:val="-225"/>
          <w:marRight w:val="-225"/>
          <w:marTop w:val="0"/>
          <w:marBottom w:val="0"/>
          <w:divBdr>
            <w:top w:val="none" w:sz="0" w:space="0" w:color="auto"/>
            <w:left w:val="none" w:sz="0" w:space="0" w:color="auto"/>
            <w:bottom w:val="none" w:sz="0" w:space="0" w:color="auto"/>
            <w:right w:val="none" w:sz="0" w:space="0" w:color="auto"/>
          </w:divBdr>
          <w:divsChild>
            <w:div w:id="401100422">
              <w:marLeft w:val="0"/>
              <w:marRight w:val="0"/>
              <w:marTop w:val="0"/>
              <w:marBottom w:val="0"/>
              <w:divBdr>
                <w:top w:val="none" w:sz="0" w:space="0" w:color="auto"/>
                <w:left w:val="none" w:sz="0" w:space="0" w:color="auto"/>
                <w:bottom w:val="none" w:sz="0" w:space="0" w:color="auto"/>
                <w:right w:val="none" w:sz="0" w:space="0" w:color="auto"/>
              </w:divBdr>
              <w:divsChild>
                <w:div w:id="1176307556">
                  <w:marLeft w:val="0"/>
                  <w:marRight w:val="0"/>
                  <w:marTop w:val="0"/>
                  <w:marBottom w:val="300"/>
                  <w:divBdr>
                    <w:top w:val="single" w:sz="48" w:space="31" w:color="EFDE6D"/>
                    <w:left w:val="none" w:sz="0" w:space="20" w:color="EFDE6D"/>
                    <w:bottom w:val="none" w:sz="0" w:space="24" w:color="EFDE6D"/>
                    <w:right w:val="none" w:sz="0" w:space="20" w:color="EFDE6D"/>
                  </w:divBdr>
                  <w:divsChild>
                    <w:div w:id="1451971225">
                      <w:marLeft w:val="0"/>
                      <w:marRight w:val="0"/>
                      <w:marTop w:val="0"/>
                      <w:marBottom w:val="0"/>
                      <w:divBdr>
                        <w:top w:val="none" w:sz="0" w:space="0" w:color="auto"/>
                        <w:left w:val="none" w:sz="0" w:space="0" w:color="auto"/>
                        <w:bottom w:val="none" w:sz="0" w:space="0" w:color="auto"/>
                        <w:right w:val="none" w:sz="0" w:space="0" w:color="auto"/>
                      </w:divBdr>
                      <w:divsChild>
                        <w:div w:id="1619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300">
              <w:marLeft w:val="0"/>
              <w:marRight w:val="0"/>
              <w:marTop w:val="0"/>
              <w:marBottom w:val="0"/>
              <w:divBdr>
                <w:top w:val="none" w:sz="0" w:space="0" w:color="auto"/>
                <w:left w:val="none" w:sz="0" w:space="0" w:color="auto"/>
                <w:bottom w:val="none" w:sz="0" w:space="0" w:color="auto"/>
                <w:right w:val="none" w:sz="0" w:space="0" w:color="auto"/>
              </w:divBdr>
              <w:divsChild>
                <w:div w:id="197477401">
                  <w:marLeft w:val="0"/>
                  <w:marRight w:val="0"/>
                  <w:marTop w:val="75"/>
                  <w:marBottom w:val="300"/>
                  <w:divBdr>
                    <w:top w:val="none" w:sz="0" w:space="0" w:color="auto"/>
                    <w:left w:val="none" w:sz="0" w:space="0" w:color="auto"/>
                    <w:bottom w:val="none" w:sz="0" w:space="0" w:color="auto"/>
                    <w:right w:val="none" w:sz="0" w:space="0" w:color="auto"/>
                  </w:divBdr>
                  <w:divsChild>
                    <w:div w:id="261032697">
                      <w:marLeft w:val="0"/>
                      <w:marRight w:val="0"/>
                      <w:marTop w:val="0"/>
                      <w:marBottom w:val="0"/>
                      <w:divBdr>
                        <w:top w:val="none" w:sz="0" w:space="0" w:color="auto"/>
                        <w:left w:val="none" w:sz="0" w:space="0" w:color="auto"/>
                        <w:bottom w:val="none" w:sz="0" w:space="0" w:color="auto"/>
                        <w:right w:val="none" w:sz="0" w:space="0" w:color="auto"/>
                      </w:divBdr>
                      <w:divsChild>
                        <w:div w:id="1416591612">
                          <w:marLeft w:val="0"/>
                          <w:marRight w:val="0"/>
                          <w:marTop w:val="0"/>
                          <w:marBottom w:val="0"/>
                          <w:divBdr>
                            <w:top w:val="none" w:sz="0" w:space="0" w:color="auto"/>
                            <w:left w:val="none" w:sz="0" w:space="0" w:color="auto"/>
                            <w:bottom w:val="none" w:sz="0" w:space="0" w:color="auto"/>
                            <w:right w:val="none" w:sz="0" w:space="0" w:color="auto"/>
                          </w:divBdr>
                          <w:divsChild>
                            <w:div w:id="1538392316">
                              <w:marLeft w:val="0"/>
                              <w:marRight w:val="0"/>
                              <w:marTop w:val="0"/>
                              <w:marBottom w:val="0"/>
                              <w:divBdr>
                                <w:top w:val="none" w:sz="0" w:space="0" w:color="auto"/>
                                <w:left w:val="none" w:sz="0" w:space="0" w:color="auto"/>
                                <w:bottom w:val="none" w:sz="0" w:space="0" w:color="auto"/>
                                <w:right w:val="none" w:sz="0" w:space="0" w:color="auto"/>
                              </w:divBdr>
                              <w:divsChild>
                                <w:div w:id="1246963867">
                                  <w:marLeft w:val="0"/>
                                  <w:marRight w:val="0"/>
                                  <w:marTop w:val="0"/>
                                  <w:marBottom w:val="0"/>
                                  <w:divBdr>
                                    <w:top w:val="none" w:sz="0" w:space="0" w:color="auto"/>
                                    <w:left w:val="none" w:sz="0" w:space="0" w:color="auto"/>
                                    <w:bottom w:val="none" w:sz="0" w:space="0" w:color="auto"/>
                                    <w:right w:val="none" w:sz="0" w:space="0" w:color="auto"/>
                                  </w:divBdr>
                                  <w:divsChild>
                                    <w:div w:id="214565824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413371">
          <w:marLeft w:val="-225"/>
          <w:marRight w:val="-225"/>
          <w:marTop w:val="0"/>
          <w:marBottom w:val="0"/>
          <w:divBdr>
            <w:top w:val="none" w:sz="0" w:space="0" w:color="auto"/>
            <w:left w:val="none" w:sz="0" w:space="0" w:color="auto"/>
            <w:bottom w:val="none" w:sz="0" w:space="0" w:color="auto"/>
            <w:right w:val="none" w:sz="0" w:space="0" w:color="auto"/>
          </w:divBdr>
          <w:divsChild>
            <w:div w:id="894119459">
              <w:marLeft w:val="0"/>
              <w:marRight w:val="0"/>
              <w:marTop w:val="0"/>
              <w:marBottom w:val="0"/>
              <w:divBdr>
                <w:top w:val="none" w:sz="0" w:space="0" w:color="auto"/>
                <w:left w:val="none" w:sz="0" w:space="0" w:color="auto"/>
                <w:bottom w:val="none" w:sz="0" w:space="0" w:color="auto"/>
                <w:right w:val="none" w:sz="0" w:space="0" w:color="auto"/>
              </w:divBdr>
              <w:divsChild>
                <w:div w:id="1636521014">
                  <w:marLeft w:val="0"/>
                  <w:marRight w:val="0"/>
                  <w:marTop w:val="0"/>
                  <w:marBottom w:val="0"/>
                  <w:divBdr>
                    <w:top w:val="none" w:sz="0" w:space="0" w:color="auto"/>
                    <w:left w:val="none" w:sz="0" w:space="0" w:color="auto"/>
                    <w:bottom w:val="none" w:sz="0" w:space="0" w:color="auto"/>
                    <w:right w:val="none" w:sz="0" w:space="0" w:color="auto"/>
                  </w:divBdr>
                  <w:divsChild>
                    <w:div w:id="21016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0963">
              <w:marLeft w:val="0"/>
              <w:marRight w:val="0"/>
              <w:marTop w:val="0"/>
              <w:marBottom w:val="0"/>
              <w:divBdr>
                <w:top w:val="none" w:sz="0" w:space="0" w:color="auto"/>
                <w:left w:val="none" w:sz="0" w:space="0" w:color="auto"/>
                <w:bottom w:val="none" w:sz="0" w:space="0" w:color="auto"/>
                <w:right w:val="none" w:sz="0" w:space="0" w:color="auto"/>
              </w:divBdr>
              <w:divsChild>
                <w:div w:id="1607812463">
                  <w:marLeft w:val="0"/>
                  <w:marRight w:val="0"/>
                  <w:marTop w:val="0"/>
                  <w:marBottom w:val="0"/>
                  <w:divBdr>
                    <w:top w:val="none" w:sz="0" w:space="0" w:color="auto"/>
                    <w:left w:val="none" w:sz="0" w:space="0" w:color="auto"/>
                    <w:bottom w:val="none" w:sz="0" w:space="0" w:color="auto"/>
                    <w:right w:val="none" w:sz="0" w:space="0" w:color="auto"/>
                  </w:divBdr>
                  <w:divsChild>
                    <w:div w:id="586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4286">
      <w:bodyDiv w:val="1"/>
      <w:marLeft w:val="0"/>
      <w:marRight w:val="0"/>
      <w:marTop w:val="0"/>
      <w:marBottom w:val="0"/>
      <w:divBdr>
        <w:top w:val="none" w:sz="0" w:space="0" w:color="auto"/>
        <w:left w:val="none" w:sz="0" w:space="0" w:color="auto"/>
        <w:bottom w:val="none" w:sz="0" w:space="0" w:color="auto"/>
        <w:right w:val="none" w:sz="0" w:space="0" w:color="auto"/>
      </w:divBdr>
    </w:div>
    <w:div w:id="1740784142">
      <w:bodyDiv w:val="1"/>
      <w:marLeft w:val="0"/>
      <w:marRight w:val="0"/>
      <w:marTop w:val="0"/>
      <w:marBottom w:val="0"/>
      <w:divBdr>
        <w:top w:val="none" w:sz="0" w:space="0" w:color="auto"/>
        <w:left w:val="none" w:sz="0" w:space="0" w:color="auto"/>
        <w:bottom w:val="none" w:sz="0" w:space="0" w:color="auto"/>
        <w:right w:val="none" w:sz="0" w:space="0" w:color="auto"/>
      </w:divBdr>
      <w:divsChild>
        <w:div w:id="1106001627">
          <w:marLeft w:val="-225"/>
          <w:marRight w:val="-225"/>
          <w:marTop w:val="0"/>
          <w:marBottom w:val="0"/>
          <w:divBdr>
            <w:top w:val="none" w:sz="0" w:space="0" w:color="auto"/>
            <w:left w:val="none" w:sz="0" w:space="0" w:color="auto"/>
            <w:bottom w:val="none" w:sz="0" w:space="0" w:color="auto"/>
            <w:right w:val="none" w:sz="0" w:space="0" w:color="auto"/>
          </w:divBdr>
          <w:divsChild>
            <w:div w:id="1724326973">
              <w:marLeft w:val="0"/>
              <w:marRight w:val="0"/>
              <w:marTop w:val="0"/>
              <w:marBottom w:val="0"/>
              <w:divBdr>
                <w:top w:val="none" w:sz="0" w:space="0" w:color="auto"/>
                <w:left w:val="none" w:sz="0" w:space="0" w:color="auto"/>
                <w:bottom w:val="none" w:sz="0" w:space="0" w:color="auto"/>
                <w:right w:val="none" w:sz="0" w:space="0" w:color="auto"/>
              </w:divBdr>
              <w:divsChild>
                <w:div w:id="1002777225">
                  <w:marLeft w:val="0"/>
                  <w:marRight w:val="0"/>
                  <w:marTop w:val="0"/>
                  <w:marBottom w:val="0"/>
                  <w:divBdr>
                    <w:top w:val="none" w:sz="0" w:space="0" w:color="auto"/>
                    <w:left w:val="none" w:sz="0" w:space="0" w:color="auto"/>
                    <w:bottom w:val="none" w:sz="0" w:space="0" w:color="auto"/>
                    <w:right w:val="none" w:sz="0" w:space="0" w:color="auto"/>
                  </w:divBdr>
                  <w:divsChild>
                    <w:div w:id="7824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7878">
          <w:marLeft w:val="-225"/>
          <w:marRight w:val="-225"/>
          <w:marTop w:val="0"/>
          <w:marBottom w:val="0"/>
          <w:divBdr>
            <w:top w:val="none" w:sz="0" w:space="0" w:color="auto"/>
            <w:left w:val="none" w:sz="0" w:space="0" w:color="auto"/>
            <w:bottom w:val="none" w:sz="0" w:space="0" w:color="auto"/>
            <w:right w:val="none" w:sz="0" w:space="0" w:color="auto"/>
          </w:divBdr>
          <w:divsChild>
            <w:div w:id="20967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4460">
      <w:bodyDiv w:val="1"/>
      <w:marLeft w:val="0"/>
      <w:marRight w:val="0"/>
      <w:marTop w:val="0"/>
      <w:marBottom w:val="0"/>
      <w:divBdr>
        <w:top w:val="none" w:sz="0" w:space="0" w:color="auto"/>
        <w:left w:val="none" w:sz="0" w:space="0" w:color="auto"/>
        <w:bottom w:val="none" w:sz="0" w:space="0" w:color="auto"/>
        <w:right w:val="none" w:sz="0" w:space="0" w:color="auto"/>
      </w:divBdr>
    </w:div>
    <w:div w:id="18691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Naeem Munir</dc:creator>
  <cp:lastModifiedBy>admin</cp:lastModifiedBy>
  <cp:revision>2</cp:revision>
  <dcterms:created xsi:type="dcterms:W3CDTF">2015-11-08T07:20:00Z</dcterms:created>
  <dcterms:modified xsi:type="dcterms:W3CDTF">2015-11-08T07:20:00Z</dcterms:modified>
</cp:coreProperties>
</file>